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313" w:beforeLines="100" w:after="0" w:afterLines="0"/>
        <w:jc w:val="center"/>
        <w:rPr>
          <w:rFonts w:ascii="黑体" w:hAnsi="黑体" w:eastAsia="黑体" w:cs="仿宋_GB2312"/>
          <w:b/>
          <w:sz w:val="36"/>
          <w:szCs w:val="36"/>
        </w:rPr>
      </w:pPr>
      <w:r>
        <w:rPr>
          <w:rFonts w:hint="eastAsia" w:ascii="黑体" w:hAnsi="黑体" w:eastAsia="黑体" w:cs="仿宋_GB2312"/>
          <w:b/>
          <w:sz w:val="36"/>
          <w:szCs w:val="36"/>
        </w:rPr>
        <w:t>2019年度机械行业职业教育技能大赛</w:t>
      </w:r>
    </w:p>
    <w:p>
      <w:pPr>
        <w:snapToGrid w:val="0"/>
        <w:spacing w:before="0" w:beforeLines="0" w:after="313" w:afterLines="100" w:line="540" w:lineRule="exact"/>
        <w:jc w:val="center"/>
        <w:rPr>
          <w:rFonts w:ascii="Arial Narrow" w:hAnsi="Arial Narrow" w:eastAsia="黑体"/>
          <w:b/>
          <w:sz w:val="36"/>
          <w:szCs w:val="36"/>
        </w:rPr>
      </w:pPr>
      <w:r>
        <w:rPr>
          <w:rFonts w:hint="eastAsia" w:ascii="黑体" w:hAnsi="黑体" w:eastAsia="黑体"/>
          <w:b/>
          <w:bCs/>
          <w:sz w:val="36"/>
        </w:rPr>
        <w:t>“精雕杯”五轴数控加工技术</w:t>
      </w:r>
      <w:r>
        <w:rPr>
          <w:rFonts w:hint="eastAsia" w:ascii="黑体" w:hAnsi="黑体" w:eastAsia="黑体" w:cs="仿宋_GB2312"/>
          <w:b/>
          <w:sz w:val="36"/>
          <w:szCs w:val="36"/>
        </w:rPr>
        <w:t>赛项竞赛规程</w:t>
      </w:r>
    </w:p>
    <w:p>
      <w:pPr>
        <w:pStyle w:val="2"/>
        <w:snapToGrid/>
        <w:spacing w:line="540" w:lineRule="exact"/>
        <w:ind w:firstLine="643" w:firstLineChars="200"/>
      </w:pPr>
      <w:r>
        <w:rPr>
          <w:rFonts w:hint="eastAsia"/>
        </w:rPr>
        <w:t>一、赛项名称</w:t>
      </w:r>
    </w:p>
    <w:p>
      <w:pPr>
        <w:snapToGrid w:val="0"/>
        <w:spacing w:line="540" w:lineRule="exact"/>
        <w:ind w:firstLine="600" w:firstLineChars="200"/>
        <w:rPr>
          <w:rFonts w:ascii="Arial Narrow" w:hAnsi="Arial Narrow" w:eastAsia="仿宋_GB2312" w:cs="Arial"/>
          <w:sz w:val="30"/>
          <w:szCs w:val="30"/>
        </w:rPr>
      </w:pPr>
      <w:r>
        <w:rPr>
          <w:rFonts w:hint="eastAsia" w:ascii="Arial Narrow" w:hAnsi="Arial Narrow" w:eastAsia="仿宋_GB2312" w:cs="Arial"/>
          <w:b w:val="0"/>
          <w:bCs w:val="0"/>
          <w:sz w:val="30"/>
          <w:szCs w:val="30"/>
        </w:rPr>
        <w:t>“精雕杯”五轴数控加工技术</w:t>
      </w:r>
    </w:p>
    <w:p>
      <w:pPr>
        <w:pStyle w:val="2"/>
        <w:snapToGrid w:val="0"/>
        <w:spacing w:line="540" w:lineRule="exact"/>
        <w:ind w:firstLine="643" w:firstLineChars="200"/>
      </w:pPr>
      <w:r>
        <w:rPr>
          <w:rFonts w:hint="eastAsia"/>
        </w:rPr>
        <w:t>二、赛项组别</w:t>
      </w:r>
      <w:r>
        <w:t>及</w:t>
      </w:r>
      <w:r>
        <w:rPr>
          <w:rFonts w:hint="eastAsia"/>
        </w:rPr>
        <w:t>参赛对象</w:t>
      </w:r>
    </w:p>
    <w:p>
      <w:pPr>
        <w:pStyle w:val="3"/>
        <w:spacing w:line="360" w:lineRule="auto"/>
        <w:ind w:firstLine="643" w:firstLineChars="200"/>
      </w:pPr>
      <w:r>
        <w:rPr>
          <w:rFonts w:hint="eastAsia"/>
        </w:rPr>
        <w:t>（一）赛项组别</w:t>
      </w:r>
    </w:p>
    <w:p>
      <w:pPr>
        <w:spacing w:line="560" w:lineRule="exact"/>
        <w:ind w:firstLine="600" w:firstLineChars="200"/>
        <w:jc w:val="left"/>
        <w:rPr>
          <w:rFonts w:ascii="仿宋_GB2312" w:hAnsi="仿宋_GB2312" w:eastAsia="仿宋_GB2312" w:cs="仿宋_GB2312"/>
          <w:sz w:val="30"/>
          <w:szCs w:val="30"/>
        </w:rPr>
      </w:pPr>
      <w:r>
        <w:rPr>
          <w:rFonts w:hint="eastAsia" w:ascii="仿宋_GB2312" w:hAnsi="仿宋_GB2312" w:eastAsia="仿宋_GB2312" w:cs="仿宋_GB2312"/>
          <w:sz w:val="30"/>
          <w:szCs w:val="30"/>
        </w:rPr>
        <w:t>高职</w:t>
      </w:r>
      <w:r>
        <w:rPr>
          <w:rFonts w:hint="eastAsia" w:ascii="仿宋_GB2312" w:hAnsi="仿宋_GB2312" w:eastAsia="仿宋_GB2312" w:cs="仿宋_GB2312"/>
          <w:sz w:val="30"/>
          <w:szCs w:val="30"/>
          <w:lang w:eastAsia="zh-CN"/>
        </w:rPr>
        <w:t>教师</w:t>
      </w:r>
      <w:r>
        <w:rPr>
          <w:rFonts w:hint="eastAsia" w:ascii="仿宋_GB2312" w:hAnsi="仿宋_GB2312" w:eastAsia="仿宋_GB2312" w:cs="仿宋_GB2312"/>
          <w:sz w:val="30"/>
          <w:szCs w:val="30"/>
        </w:rPr>
        <w:t>组</w:t>
      </w:r>
    </w:p>
    <w:p>
      <w:pPr>
        <w:pStyle w:val="3"/>
        <w:spacing w:line="360" w:lineRule="auto"/>
        <w:ind w:firstLine="643" w:firstLineChars="200"/>
      </w:pPr>
      <w:r>
        <w:rPr>
          <w:rFonts w:hint="eastAsia"/>
        </w:rPr>
        <w:t>（二）参赛对象</w:t>
      </w:r>
    </w:p>
    <w:p>
      <w:pPr>
        <w:snapToGrid w:val="0"/>
        <w:spacing w:line="560" w:lineRule="exact"/>
        <w:ind w:firstLine="600"/>
        <w:jc w:val="left"/>
        <w:rPr>
          <w:rFonts w:ascii="仿宋_GB2312" w:hAnsi="仿宋_GB2312" w:eastAsia="仿宋_GB2312"/>
          <w:sz w:val="30"/>
        </w:rPr>
      </w:pPr>
      <w:r>
        <w:rPr>
          <w:rFonts w:hint="eastAsia" w:ascii="仿宋_GB2312" w:hAnsi="仿宋_GB2312" w:eastAsia="仿宋_GB2312"/>
          <w:sz w:val="30"/>
        </w:rPr>
        <w:t>应用型本科、高职高专（含五年制）、技师学院</w:t>
      </w:r>
      <w:r>
        <w:rPr>
          <w:rFonts w:hint="eastAsia" w:ascii="仿宋_GB2312" w:hAnsi="仿宋_GB2312" w:eastAsia="仿宋_GB2312"/>
          <w:sz w:val="30"/>
          <w:lang w:eastAsia="zh-CN"/>
        </w:rPr>
        <w:t>任职或兼职教师</w:t>
      </w:r>
      <w:r>
        <w:rPr>
          <w:rFonts w:hint="eastAsia" w:ascii="仿宋_GB2312" w:hAnsi="仿宋_GB2312" w:eastAsia="仿宋_GB2312"/>
          <w:sz w:val="30"/>
        </w:rPr>
        <w:t>。</w:t>
      </w:r>
    </w:p>
    <w:p>
      <w:pPr>
        <w:pStyle w:val="2"/>
        <w:snapToGrid w:val="0"/>
        <w:spacing w:line="540" w:lineRule="exact"/>
        <w:ind w:firstLine="643" w:firstLineChars="200"/>
      </w:pPr>
      <w:r>
        <w:rPr>
          <w:rFonts w:hint="eastAsia"/>
        </w:rPr>
        <w:t>三、竞赛拟定时间及地点</w:t>
      </w:r>
    </w:p>
    <w:p>
      <w:pPr>
        <w:pStyle w:val="3"/>
        <w:spacing w:line="360" w:lineRule="auto"/>
        <w:ind w:firstLine="643" w:firstLineChars="200"/>
      </w:pPr>
      <w:r>
        <w:rPr>
          <w:rFonts w:hint="eastAsia"/>
        </w:rPr>
        <w:t>（一）竞赛</w:t>
      </w:r>
      <w:r>
        <w:t>时间</w:t>
      </w:r>
    </w:p>
    <w:p>
      <w:pPr>
        <w:spacing w:line="360" w:lineRule="auto"/>
        <w:ind w:firstLine="600" w:firstLineChars="200"/>
        <w:rPr>
          <w:rFonts w:ascii="仿宋" w:hAnsi="仿宋" w:eastAsia="仿宋" w:cs="仿宋"/>
          <w:sz w:val="30"/>
          <w:szCs w:val="30"/>
        </w:rPr>
      </w:pPr>
      <w:r>
        <w:rPr>
          <w:rFonts w:ascii="仿宋" w:hAnsi="仿宋" w:eastAsia="仿宋" w:cs="仿宋"/>
          <w:sz w:val="30"/>
          <w:szCs w:val="30"/>
        </w:rPr>
        <w:t>201</w:t>
      </w:r>
      <w:r>
        <w:rPr>
          <w:rFonts w:hint="eastAsia" w:ascii="仿宋" w:hAnsi="仿宋" w:eastAsia="仿宋" w:cs="仿宋"/>
          <w:sz w:val="30"/>
          <w:szCs w:val="30"/>
        </w:rPr>
        <w:t>9</w:t>
      </w:r>
      <w:r>
        <w:rPr>
          <w:rFonts w:ascii="仿宋" w:hAnsi="仿宋" w:eastAsia="仿宋" w:cs="仿宋"/>
          <w:sz w:val="30"/>
          <w:szCs w:val="30"/>
        </w:rPr>
        <w:t>年</w:t>
      </w:r>
      <w:r>
        <w:rPr>
          <w:rFonts w:hint="eastAsia" w:ascii="仿宋" w:hAnsi="仿宋" w:eastAsia="仿宋" w:cs="仿宋"/>
          <w:sz w:val="30"/>
          <w:szCs w:val="30"/>
        </w:rPr>
        <w:t>10月3</w:t>
      </w:r>
      <w:r>
        <w:rPr>
          <w:rFonts w:hint="eastAsia" w:ascii="仿宋" w:hAnsi="仿宋" w:eastAsia="仿宋" w:cs="仿宋"/>
          <w:sz w:val="30"/>
          <w:szCs w:val="30"/>
          <w:lang w:val="en-US" w:eastAsia="zh-CN"/>
        </w:rPr>
        <w:t>0</w:t>
      </w:r>
      <w:r>
        <w:rPr>
          <w:rFonts w:hint="eastAsia" w:ascii="仿宋" w:hAnsi="仿宋" w:eastAsia="仿宋" w:cs="仿宋"/>
          <w:sz w:val="30"/>
          <w:szCs w:val="30"/>
        </w:rPr>
        <w:t>日</w:t>
      </w:r>
      <w:r>
        <w:rPr>
          <w:rFonts w:hint="eastAsia" w:ascii="仿宋" w:hAnsi="仿宋" w:eastAsia="仿宋" w:cs="仿宋"/>
          <w:sz w:val="30"/>
          <w:szCs w:val="30"/>
          <w:lang w:eastAsia="zh-CN"/>
        </w:rPr>
        <w:t>前</w:t>
      </w:r>
      <w:r>
        <w:rPr>
          <w:rFonts w:hint="eastAsia" w:ascii="仿宋" w:hAnsi="仿宋" w:eastAsia="仿宋" w:cs="仿宋"/>
          <w:sz w:val="30"/>
          <w:szCs w:val="30"/>
        </w:rPr>
        <w:t>报到，</w:t>
      </w:r>
      <w:r>
        <w:rPr>
          <w:rFonts w:hint="eastAsia" w:ascii="仿宋" w:hAnsi="仿宋" w:eastAsia="仿宋" w:cs="仿宋"/>
          <w:sz w:val="30"/>
          <w:szCs w:val="30"/>
          <w:lang w:val="en-US" w:eastAsia="zh-CN"/>
        </w:rPr>
        <w:t>10月31日开赛式，</w:t>
      </w:r>
      <w:r>
        <w:rPr>
          <w:rFonts w:hint="eastAsia" w:ascii="仿宋" w:hAnsi="仿宋" w:eastAsia="仿宋" w:cs="仿宋"/>
          <w:sz w:val="30"/>
          <w:szCs w:val="30"/>
        </w:rPr>
        <w:t>11月1-2日正式比赛</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11月3日闭赛式</w:t>
      </w:r>
      <w:r>
        <w:rPr>
          <w:rFonts w:hint="eastAsia" w:ascii="仿宋" w:hAnsi="仿宋" w:eastAsia="仿宋" w:cs="仿宋"/>
          <w:sz w:val="30"/>
          <w:szCs w:val="30"/>
        </w:rPr>
        <w:t>。</w:t>
      </w:r>
    </w:p>
    <w:p>
      <w:pPr>
        <w:pStyle w:val="3"/>
        <w:spacing w:line="360" w:lineRule="auto"/>
        <w:ind w:firstLine="643" w:firstLineChars="200"/>
      </w:pPr>
      <w:r>
        <w:rPr>
          <w:rFonts w:hint="eastAsia"/>
        </w:rPr>
        <w:t>（二）竞赛</w:t>
      </w:r>
      <w:r>
        <w:t>地点</w:t>
      </w:r>
    </w:p>
    <w:p>
      <w:pPr>
        <w:spacing w:line="560" w:lineRule="exact"/>
        <w:ind w:firstLine="600" w:firstLineChars="200"/>
        <w:jc w:val="left"/>
        <w:rPr>
          <w:rFonts w:ascii="仿宋_GB2312" w:hAnsi="仿宋_GB2312" w:eastAsia="仿宋_GB2312" w:cs="仿宋_GB2312"/>
          <w:sz w:val="30"/>
          <w:szCs w:val="30"/>
        </w:rPr>
      </w:pPr>
      <w:r>
        <w:rPr>
          <w:rFonts w:hint="eastAsia" w:ascii="仿宋_GB2312" w:hAnsi="宋体" w:eastAsia="仿宋_GB2312"/>
          <w:kern w:val="0"/>
          <w:sz w:val="30"/>
          <w:szCs w:val="30"/>
        </w:rPr>
        <w:t>东莞市精雕职业培训第二学校（</w:t>
      </w:r>
      <w:r>
        <w:rPr>
          <w:rFonts w:ascii="仿宋_GB2312" w:hAnsi="宋体" w:eastAsia="仿宋_GB2312"/>
          <w:kern w:val="0"/>
          <w:sz w:val="30"/>
          <w:szCs w:val="30"/>
        </w:rPr>
        <w:t>广东省东莞市龙湖街与长生路交叉口</w:t>
      </w:r>
      <w:r>
        <w:rPr>
          <w:rFonts w:hint="eastAsia" w:ascii="仿宋_GB2312" w:hAnsi="宋体" w:eastAsia="仿宋_GB2312"/>
          <w:kern w:val="0"/>
          <w:sz w:val="30"/>
          <w:szCs w:val="30"/>
        </w:rPr>
        <w:t>）。</w:t>
      </w:r>
      <w:r>
        <w:rPr>
          <w:rFonts w:hint="eastAsia" w:ascii="仿宋" w:hAnsi="仿宋" w:eastAsia="仿宋" w:cs="仿宋"/>
          <w:sz w:val="30"/>
          <w:szCs w:val="30"/>
        </w:rPr>
        <w:t>报到地点和住宿酒店等安排详见报到通知。</w:t>
      </w:r>
    </w:p>
    <w:p>
      <w:pPr>
        <w:pStyle w:val="2"/>
        <w:snapToGrid w:val="0"/>
        <w:spacing w:line="540" w:lineRule="exact"/>
        <w:ind w:firstLine="643" w:firstLineChars="200"/>
      </w:pPr>
      <w:r>
        <w:rPr>
          <w:rFonts w:hint="eastAsia"/>
        </w:rPr>
        <w:t>四、竞赛方式与内容</w:t>
      </w:r>
    </w:p>
    <w:p>
      <w:pPr>
        <w:widowControl/>
        <w:spacing w:line="560" w:lineRule="exact"/>
        <w:ind w:firstLine="600"/>
        <w:jc w:val="left"/>
        <w:rPr>
          <w:rFonts w:hint="eastAsia" w:ascii="仿宋_GB2312" w:hAnsi="楷体" w:eastAsia="仿宋_GB2312" w:cs="仿宋"/>
          <w:sz w:val="30"/>
          <w:szCs w:val="30"/>
        </w:rPr>
      </w:pPr>
      <w:r>
        <w:rPr>
          <w:rStyle w:val="20"/>
          <w:rFonts w:hint="eastAsia" w:ascii="楷体" w:hAnsi="楷体" w:eastAsia="楷体" w:cs="仿宋"/>
          <w:sz w:val="30"/>
          <w:szCs w:val="30"/>
        </w:rPr>
        <w:t>（一）竞赛</w:t>
      </w:r>
      <w:r>
        <w:rPr>
          <w:rStyle w:val="20"/>
          <w:rFonts w:hint="eastAsia" w:ascii="仿宋_GB2312" w:hAnsi="楷体" w:eastAsia="仿宋_GB2312" w:cs="仿宋"/>
          <w:sz w:val="30"/>
          <w:szCs w:val="30"/>
        </w:rPr>
        <w:t>方式</w:t>
      </w:r>
    </w:p>
    <w:p>
      <w:pPr>
        <w:widowControl/>
        <w:spacing w:line="560" w:lineRule="exact"/>
        <w:ind w:firstLine="600"/>
        <w:jc w:val="left"/>
        <w:rPr>
          <w:rFonts w:ascii="仿宋_GB2312" w:hAnsi="仿宋_GB2312" w:eastAsia="仿宋_GB2312"/>
          <w:sz w:val="30"/>
          <w:szCs w:val="30"/>
        </w:rPr>
      </w:pPr>
      <w:r>
        <w:rPr>
          <w:rFonts w:hint="eastAsia" w:ascii="仿宋_GB2312" w:hAnsi="仿宋_GB2312" w:eastAsia="仿宋_GB2312"/>
          <w:sz w:val="30"/>
          <w:szCs w:val="30"/>
        </w:rPr>
        <w:t>本赛项为</w:t>
      </w:r>
      <w:r>
        <w:rPr>
          <w:rFonts w:hint="eastAsia" w:ascii="仿宋_GB2312" w:hAnsi="仿宋_GB2312" w:eastAsia="仿宋_GB2312"/>
          <w:sz w:val="30"/>
          <w:szCs w:val="30"/>
          <w:lang w:eastAsia="zh-CN"/>
        </w:rPr>
        <w:t>个人</w:t>
      </w:r>
      <w:r>
        <w:rPr>
          <w:rFonts w:hint="eastAsia" w:ascii="仿宋_GB2312" w:hAnsi="仿宋_GB2312" w:eastAsia="仿宋_GB2312"/>
          <w:sz w:val="30"/>
          <w:szCs w:val="30"/>
        </w:rPr>
        <w:t>赛，每支参赛队由</w:t>
      </w:r>
      <w:r>
        <w:rPr>
          <w:rFonts w:hint="eastAsia" w:ascii="仿宋_GB2312" w:hAnsi="仿宋_GB2312" w:eastAsia="仿宋_GB2312"/>
          <w:sz w:val="30"/>
          <w:szCs w:val="30"/>
          <w:lang w:val="en-US" w:eastAsia="zh-CN"/>
        </w:rPr>
        <w:t>1</w:t>
      </w:r>
      <w:r>
        <w:rPr>
          <w:rFonts w:hint="eastAsia" w:ascii="仿宋_GB2312" w:hAnsi="仿宋_GB2312" w:eastAsia="仿宋_GB2312"/>
          <w:sz w:val="30"/>
          <w:szCs w:val="30"/>
        </w:rPr>
        <w:t>名选手组成。全国限报</w:t>
      </w:r>
      <w:r>
        <w:rPr>
          <w:rFonts w:hint="eastAsia" w:ascii="仿宋_GB2312" w:hAnsi="仿宋_GB2312" w:eastAsia="仿宋_GB2312"/>
          <w:sz w:val="30"/>
          <w:szCs w:val="30"/>
          <w:lang w:val="en-US" w:eastAsia="zh-CN"/>
        </w:rPr>
        <w:t>28</w:t>
      </w:r>
      <w:r>
        <w:rPr>
          <w:rFonts w:hint="eastAsia" w:ascii="仿宋_GB2312" w:hAnsi="仿宋_GB2312" w:eastAsia="仿宋_GB2312"/>
          <w:sz w:val="30"/>
          <w:szCs w:val="30"/>
        </w:rPr>
        <w:t>支队伍，报满为止。</w:t>
      </w:r>
    </w:p>
    <w:p>
      <w:pPr>
        <w:widowControl/>
        <w:spacing w:line="560" w:lineRule="exact"/>
        <w:ind w:firstLine="602"/>
        <w:jc w:val="left"/>
        <w:rPr>
          <w:rFonts w:ascii="仿宋_GB2312" w:hAnsi="楷体" w:eastAsia="仿宋_GB2312" w:cs="仿宋"/>
          <w:sz w:val="30"/>
          <w:szCs w:val="30"/>
        </w:rPr>
      </w:pPr>
      <w:r>
        <w:rPr>
          <w:rStyle w:val="20"/>
          <w:rFonts w:hint="eastAsia" w:ascii="楷体" w:hAnsi="楷体" w:eastAsia="楷体" w:cs="仿宋"/>
          <w:sz w:val="30"/>
          <w:szCs w:val="30"/>
        </w:rPr>
        <w:t>（二）</w:t>
      </w:r>
      <w:r>
        <w:rPr>
          <w:rStyle w:val="20"/>
          <w:rFonts w:hint="eastAsia" w:ascii="仿宋_GB2312" w:hAnsi="楷体" w:eastAsia="仿宋_GB2312" w:cs="仿宋"/>
          <w:sz w:val="30"/>
          <w:szCs w:val="30"/>
        </w:rPr>
        <w:t>竞赛内容</w:t>
      </w:r>
    </w:p>
    <w:p>
      <w:pPr>
        <w:widowControl/>
        <w:spacing w:line="560" w:lineRule="exact"/>
        <w:ind w:firstLine="600"/>
        <w:jc w:val="left"/>
        <w:rPr>
          <w:rFonts w:hint="eastAsia" w:ascii="仿宋_GB2312" w:hAnsi="仿宋_GB2312" w:eastAsia="仿宋_GB2312"/>
          <w:sz w:val="30"/>
          <w:szCs w:val="30"/>
        </w:rPr>
      </w:pPr>
      <w:r>
        <w:rPr>
          <w:rFonts w:hint="eastAsia" w:ascii="仿宋_GB2312" w:hAnsi="仿宋_GB2312" w:eastAsia="仿宋_GB2312"/>
          <w:sz w:val="30"/>
          <w:szCs w:val="30"/>
        </w:rPr>
        <w:t>在</w:t>
      </w:r>
      <w:r>
        <w:rPr>
          <w:rFonts w:hint="eastAsia" w:ascii="仿宋_GB2312" w:hAnsi="仿宋_GB2312" w:eastAsia="仿宋_GB2312"/>
          <w:sz w:val="30"/>
          <w:szCs w:val="30"/>
          <w:lang w:val="en-US" w:eastAsia="zh-CN"/>
        </w:rPr>
        <w:t>3</w:t>
      </w:r>
      <w:r>
        <w:rPr>
          <w:rFonts w:hint="eastAsia" w:ascii="仿宋_GB2312" w:hAnsi="仿宋_GB2312" w:eastAsia="仿宋_GB2312"/>
          <w:sz w:val="30"/>
          <w:szCs w:val="30"/>
        </w:rPr>
        <w:t>个小时内，根据给定任务书和工程图、零件模型（3D）等，利用赛场提供的数控机床、相关软件平台完成数控编程→五轴零件加工→在机检测→生成检测数据报告。</w:t>
      </w:r>
    </w:p>
    <w:p>
      <w:pPr>
        <w:widowControl/>
        <w:spacing w:line="560" w:lineRule="exact"/>
        <w:ind w:firstLine="602"/>
        <w:jc w:val="left"/>
        <w:rPr>
          <w:rFonts w:ascii="仿宋_GB2312" w:hAnsi="仿宋_GB2312" w:eastAsia="仿宋_GB2312"/>
          <w:b/>
          <w:bCs/>
          <w:sz w:val="30"/>
          <w:szCs w:val="30"/>
        </w:rPr>
      </w:pPr>
      <w:r>
        <w:rPr>
          <w:rFonts w:hint="eastAsia" w:ascii="仿宋_GB2312" w:hAnsi="仿宋_GB2312" w:eastAsia="仿宋_GB2312"/>
          <w:b/>
          <w:bCs/>
          <w:sz w:val="30"/>
          <w:szCs w:val="30"/>
          <w:lang w:eastAsia="zh-CN"/>
        </w:rPr>
        <w:t>（</w:t>
      </w:r>
      <w:r>
        <w:rPr>
          <w:rFonts w:hint="eastAsia" w:ascii="仿宋_GB2312" w:hAnsi="仿宋_GB2312" w:eastAsia="仿宋_GB2312"/>
          <w:b/>
          <w:bCs/>
          <w:sz w:val="30"/>
          <w:szCs w:val="30"/>
          <w:lang w:val="en-US" w:eastAsia="zh-CN"/>
        </w:rPr>
        <w:t>1</w:t>
      </w:r>
      <w:r>
        <w:rPr>
          <w:rFonts w:hint="eastAsia" w:ascii="仿宋_GB2312" w:hAnsi="仿宋_GB2312" w:eastAsia="仿宋_GB2312"/>
          <w:b/>
          <w:bCs/>
          <w:sz w:val="30"/>
          <w:szCs w:val="30"/>
          <w:lang w:eastAsia="zh-CN"/>
        </w:rPr>
        <w:t>）</w:t>
      </w:r>
      <w:r>
        <w:rPr>
          <w:rFonts w:hint="eastAsia" w:ascii="仿宋_GB2312" w:hAnsi="仿宋_GB2312" w:eastAsia="仿宋_GB2312"/>
          <w:b/>
          <w:bCs/>
          <w:sz w:val="30"/>
          <w:szCs w:val="30"/>
        </w:rPr>
        <w:t>数控编程</w:t>
      </w:r>
    </w:p>
    <w:p>
      <w:pPr>
        <w:widowControl/>
        <w:spacing w:line="560" w:lineRule="exact"/>
        <w:ind w:firstLine="602"/>
        <w:jc w:val="left"/>
        <w:rPr>
          <w:rFonts w:hint="eastAsia" w:ascii="仿宋_GB2312" w:hAnsi="仿宋_GB2312" w:eastAsia="仿宋_GB2312"/>
          <w:sz w:val="30"/>
          <w:szCs w:val="30"/>
        </w:rPr>
      </w:pPr>
      <w:r>
        <w:rPr>
          <w:rFonts w:hint="eastAsia" w:ascii="仿宋_GB2312" w:hAnsi="仿宋_GB2312" w:eastAsia="仿宋_GB2312"/>
          <w:sz w:val="30"/>
          <w:szCs w:val="30"/>
        </w:rPr>
        <w:t>根据给定任务书完成编程竞赛，竞赛形式采用电脑编程。</w:t>
      </w:r>
    </w:p>
    <w:p>
      <w:pPr>
        <w:ind w:firstLine="601"/>
        <w:rPr>
          <w:rFonts w:ascii="仿宋_GB2312" w:hAnsi="仿宋_GB2312" w:eastAsia="仿宋_GB2312"/>
          <w:b/>
          <w:bCs/>
          <w:sz w:val="30"/>
          <w:szCs w:val="30"/>
        </w:rPr>
      </w:pPr>
      <w:r>
        <w:rPr>
          <w:rFonts w:hint="eastAsia" w:ascii="仿宋_GB2312" w:hAnsi="仿宋_GB2312" w:eastAsia="仿宋_GB2312"/>
          <w:b/>
          <w:bCs/>
          <w:sz w:val="30"/>
          <w:szCs w:val="30"/>
          <w:lang w:eastAsia="zh-CN"/>
        </w:rPr>
        <w:t>（</w:t>
      </w:r>
      <w:r>
        <w:rPr>
          <w:rFonts w:hint="eastAsia" w:ascii="仿宋_GB2312" w:hAnsi="仿宋_GB2312" w:eastAsia="仿宋_GB2312"/>
          <w:b/>
          <w:bCs/>
          <w:sz w:val="30"/>
          <w:szCs w:val="30"/>
          <w:lang w:val="en-US" w:eastAsia="zh-CN"/>
        </w:rPr>
        <w:t>2</w:t>
      </w:r>
      <w:r>
        <w:rPr>
          <w:rFonts w:hint="eastAsia" w:ascii="仿宋_GB2312" w:hAnsi="仿宋_GB2312" w:eastAsia="仿宋_GB2312"/>
          <w:b/>
          <w:bCs/>
          <w:sz w:val="30"/>
          <w:szCs w:val="30"/>
          <w:lang w:eastAsia="zh-CN"/>
        </w:rPr>
        <w:t>）</w:t>
      </w:r>
      <w:r>
        <w:rPr>
          <w:rFonts w:hint="eastAsia" w:ascii="仿宋_GB2312" w:hAnsi="仿宋_GB2312" w:eastAsia="仿宋_GB2312"/>
          <w:b/>
          <w:bCs/>
          <w:sz w:val="30"/>
          <w:szCs w:val="30"/>
        </w:rPr>
        <w:t>五轴数控加工</w:t>
      </w:r>
    </w:p>
    <w:p>
      <w:pPr>
        <w:ind w:firstLine="600" w:firstLineChars="200"/>
        <w:rPr>
          <w:rFonts w:ascii="仿宋" w:hAnsi="仿宋" w:eastAsia="仿宋" w:cs="仿宋"/>
          <w:sz w:val="30"/>
          <w:szCs w:val="30"/>
        </w:rPr>
      </w:pPr>
      <w:r>
        <w:rPr>
          <w:rFonts w:hint="eastAsia" w:ascii="仿宋" w:hAnsi="仿宋" w:eastAsia="仿宋" w:cs="仿宋"/>
          <w:sz w:val="30"/>
          <w:szCs w:val="30"/>
        </w:rPr>
        <w:t>根据数控编程文件，利用提供的设备及工具、刀具等完成测头标定、毛坯位置找正和铣削加工。</w:t>
      </w:r>
    </w:p>
    <w:p>
      <w:pPr>
        <w:ind w:firstLine="601"/>
        <w:rPr>
          <w:rFonts w:ascii="仿宋_GB2312" w:hAnsi="仿宋_GB2312" w:eastAsia="仿宋_GB2312" w:cs="Times New Roman"/>
          <w:b/>
          <w:bCs/>
          <w:sz w:val="30"/>
          <w:szCs w:val="30"/>
        </w:rPr>
      </w:pPr>
      <w:r>
        <w:rPr>
          <w:rFonts w:hint="eastAsia" w:ascii="仿宋_GB2312" w:hAnsi="仿宋_GB2312" w:eastAsia="仿宋_GB2312"/>
          <w:b/>
          <w:bCs/>
          <w:sz w:val="30"/>
          <w:szCs w:val="30"/>
          <w:lang w:eastAsia="zh-CN"/>
        </w:rPr>
        <w:t>（</w:t>
      </w:r>
      <w:r>
        <w:rPr>
          <w:rFonts w:hint="eastAsia" w:ascii="仿宋_GB2312" w:hAnsi="仿宋_GB2312" w:eastAsia="仿宋_GB2312"/>
          <w:b/>
          <w:bCs/>
          <w:sz w:val="30"/>
          <w:szCs w:val="30"/>
          <w:lang w:val="en-US" w:eastAsia="zh-CN"/>
        </w:rPr>
        <w:t>3</w:t>
      </w:r>
      <w:r>
        <w:rPr>
          <w:rFonts w:hint="eastAsia" w:ascii="仿宋_GB2312" w:hAnsi="仿宋_GB2312" w:eastAsia="仿宋_GB2312"/>
          <w:b/>
          <w:bCs/>
          <w:sz w:val="30"/>
          <w:szCs w:val="30"/>
          <w:lang w:eastAsia="zh-CN"/>
        </w:rPr>
        <w:t>）</w:t>
      </w:r>
      <w:r>
        <w:rPr>
          <w:rFonts w:hint="eastAsia" w:ascii="仿宋_GB2312" w:hAnsi="仿宋_GB2312" w:eastAsia="仿宋_GB2312" w:cs="Times New Roman"/>
          <w:b/>
          <w:bCs/>
          <w:sz w:val="30"/>
          <w:szCs w:val="30"/>
        </w:rPr>
        <w:t>在机检测</w:t>
      </w:r>
    </w:p>
    <w:p>
      <w:pPr>
        <w:ind w:firstLine="600" w:firstLineChars="200"/>
        <w:rPr>
          <w:rFonts w:ascii="仿宋" w:hAnsi="仿宋" w:eastAsia="仿宋" w:cs="仿宋"/>
          <w:sz w:val="30"/>
          <w:szCs w:val="30"/>
        </w:rPr>
      </w:pPr>
      <w:r>
        <w:rPr>
          <w:rFonts w:hint="eastAsia" w:ascii="仿宋" w:hAnsi="仿宋" w:eastAsia="仿宋" w:cs="仿宋"/>
          <w:sz w:val="30"/>
          <w:szCs w:val="30"/>
        </w:rPr>
        <w:t>按任务书要求完成工件指定要素在机检测并输出检测报告。</w:t>
      </w:r>
    </w:p>
    <w:p>
      <w:pPr>
        <w:ind w:firstLine="602" w:firstLineChars="200"/>
        <w:rPr>
          <w:rFonts w:ascii="仿宋_GB2312" w:hAnsi="仿宋_GB2312" w:eastAsia="仿宋_GB2312"/>
          <w:b/>
          <w:bCs/>
          <w:spacing w:val="-2"/>
          <w:sz w:val="30"/>
          <w:szCs w:val="30"/>
        </w:rPr>
      </w:pPr>
      <w:r>
        <w:rPr>
          <w:rFonts w:hint="eastAsia" w:ascii="仿宋_GB2312" w:hAnsi="仿宋_GB2312" w:eastAsia="仿宋_GB2312"/>
          <w:b/>
          <w:bCs/>
          <w:sz w:val="30"/>
          <w:szCs w:val="30"/>
          <w:lang w:eastAsia="zh-CN"/>
        </w:rPr>
        <w:t>（</w:t>
      </w:r>
      <w:r>
        <w:rPr>
          <w:rFonts w:hint="eastAsia" w:ascii="仿宋_GB2312" w:hAnsi="仿宋_GB2312" w:eastAsia="仿宋_GB2312"/>
          <w:b/>
          <w:bCs/>
          <w:sz w:val="30"/>
          <w:szCs w:val="30"/>
          <w:lang w:val="en-US" w:eastAsia="zh-CN"/>
        </w:rPr>
        <w:t>4</w:t>
      </w:r>
      <w:r>
        <w:rPr>
          <w:rFonts w:hint="eastAsia" w:ascii="仿宋_GB2312" w:hAnsi="仿宋_GB2312" w:eastAsia="仿宋_GB2312"/>
          <w:b/>
          <w:bCs/>
          <w:sz w:val="30"/>
          <w:szCs w:val="30"/>
          <w:lang w:eastAsia="zh-CN"/>
        </w:rPr>
        <w:t>）</w:t>
      </w:r>
      <w:r>
        <w:rPr>
          <w:rFonts w:hint="eastAsia" w:ascii="仿宋_GB2312" w:hAnsi="仿宋_GB2312" w:eastAsia="仿宋_GB2312"/>
          <w:b/>
          <w:bCs/>
          <w:sz w:val="30"/>
          <w:szCs w:val="30"/>
        </w:rPr>
        <w:t>职业素养与操作安全</w:t>
      </w:r>
    </w:p>
    <w:p>
      <w:pPr>
        <w:ind w:firstLine="600" w:firstLineChars="200"/>
        <w:rPr>
          <w:rFonts w:ascii="仿宋" w:hAnsi="仿宋" w:eastAsia="仿宋" w:cs="仿宋"/>
          <w:sz w:val="30"/>
          <w:szCs w:val="30"/>
        </w:rPr>
      </w:pPr>
      <w:r>
        <w:rPr>
          <w:rFonts w:hint="eastAsia" w:ascii="仿宋" w:hAnsi="仿宋" w:eastAsia="仿宋" w:cs="仿宋"/>
          <w:sz w:val="30"/>
          <w:szCs w:val="30"/>
        </w:rPr>
        <w:t>在整个比赛期间，选手应严格遵遵守业素养要求及安全操作规范，包括安全文明比赛、尊重裁判、着装整洁、操作规范、物料摆放整齐、清理清洁、资料归档完整等。</w:t>
      </w:r>
    </w:p>
    <w:p>
      <w:pPr>
        <w:pStyle w:val="2"/>
        <w:spacing w:line="540" w:lineRule="exact"/>
        <w:ind w:firstLine="585"/>
      </w:pPr>
      <w:r>
        <w:rPr>
          <w:rFonts w:hint="eastAsia"/>
        </w:rPr>
        <w:t>五、竞赛规则</w:t>
      </w:r>
    </w:p>
    <w:p>
      <w:pPr>
        <w:pStyle w:val="3"/>
        <w:snapToGrid w:val="0"/>
        <w:spacing w:line="500" w:lineRule="exact"/>
        <w:ind w:firstLine="600"/>
        <w:jc w:val="left"/>
      </w:pPr>
      <w:r>
        <w:rPr>
          <w:rFonts w:hint="eastAsia"/>
        </w:rPr>
        <w:t>（一）熟悉场地</w:t>
      </w:r>
    </w:p>
    <w:p>
      <w:pPr>
        <w:snapToGrid/>
        <w:spacing w:line="24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1.选手报到结束后，执委会</w:t>
      </w:r>
      <w:r>
        <w:rPr>
          <w:rFonts w:hint="eastAsia" w:ascii="仿宋" w:hAnsi="仿宋" w:eastAsia="仿宋" w:cs="仿宋"/>
          <w:sz w:val="30"/>
          <w:szCs w:val="30"/>
          <w:lang w:eastAsia="zh-CN"/>
        </w:rPr>
        <w:t>在正式比赛开始前</w:t>
      </w:r>
      <w:r>
        <w:rPr>
          <w:rFonts w:hint="eastAsia" w:ascii="仿宋" w:hAnsi="仿宋" w:eastAsia="仿宋" w:cs="仿宋"/>
          <w:sz w:val="30"/>
          <w:szCs w:val="30"/>
        </w:rPr>
        <w:t>安排各参赛队（自愿）熟悉场地并进行现场演练（最多2天）。</w:t>
      </w:r>
    </w:p>
    <w:p>
      <w:pPr>
        <w:snapToGrid/>
        <w:spacing w:line="24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2.熟悉场地时应严格遵守相关要求，严禁拥挤、喧哗，避免发生意外事故。</w:t>
      </w:r>
    </w:p>
    <w:p>
      <w:pPr>
        <w:pStyle w:val="3"/>
        <w:snapToGrid w:val="0"/>
        <w:spacing w:line="500" w:lineRule="exact"/>
        <w:ind w:firstLine="600"/>
        <w:jc w:val="left"/>
      </w:pPr>
      <w:r>
        <w:rPr>
          <w:rFonts w:hint="eastAsia"/>
        </w:rPr>
        <w:t>（二）文明参赛要求</w:t>
      </w:r>
    </w:p>
    <w:p>
      <w:pPr>
        <w:snapToGrid/>
        <w:spacing w:line="24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1.竞赛所用的相关设备、仪器、工量刃具、比赛服装等由大赛执委会统一提供。如需选手自带物品，物品清单赛前随样题公布。</w:t>
      </w:r>
    </w:p>
    <w:p>
      <w:pPr>
        <w:snapToGrid/>
        <w:spacing w:line="24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2.参赛选手至少在比赛开始前30分钟到达指定地点检录，接受工作人员对身份、资格和证件的检查。竞赛计时开始时，选手未到的视为自动放弃。</w:t>
      </w:r>
    </w:p>
    <w:p>
      <w:pPr>
        <w:snapToGrid/>
        <w:spacing w:line="24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3.比赛用仪器设备、赛位由抽签确定，不得擅自变更、调整。</w:t>
      </w:r>
    </w:p>
    <w:p>
      <w:pPr>
        <w:snapToGrid/>
        <w:spacing w:line="24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4.选手在竞赛过程中不得擅自离开赛场，如有特殊情况，须经裁判同意。选手休息、饮水、上洗手间等耗费的时间，统一计在竞赛时间内。竞赛计时以赛场设置的时钟为准。</w:t>
      </w:r>
    </w:p>
    <w:p>
      <w:pPr>
        <w:snapToGrid/>
        <w:spacing w:line="24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5.竞赛期间，选手不得将手机等通信工具带入赛场。非同组选手之间不得以任何方式传递信息，如传递纸条，用手势表达，使用暗语等。</w:t>
      </w:r>
    </w:p>
    <w:p>
      <w:pPr>
        <w:snapToGrid/>
        <w:spacing w:line="24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6.赛场内禁止喧哗，不得有影响其他选手完成工作任务的行为。</w:t>
      </w:r>
    </w:p>
    <w:p>
      <w:pPr>
        <w:snapToGrid/>
        <w:spacing w:line="24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7.爱护赛场提供的器材，不得移动赛场内台桌、设备和其他物品的位置，不得故意损坏设备和仪器；比赛过程中，参赛选手须严格遵守相关操作规程，确保人身及设备安全，并接受裁判员的监督和警示。</w:t>
      </w:r>
    </w:p>
    <w:p>
      <w:pPr>
        <w:snapToGrid/>
        <w:spacing w:line="24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8.比赛过程中，不得与非同组选手讨论，不得旁窥其他选手的操作。</w:t>
      </w:r>
    </w:p>
    <w:p>
      <w:pPr>
        <w:snapToGrid/>
        <w:spacing w:line="24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9.有事应先举手示意并与裁判人员协商，尊重裁判人员的意见。</w:t>
      </w:r>
    </w:p>
    <w:p>
      <w:pPr>
        <w:snapToGrid/>
        <w:spacing w:line="24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10.参赛选手应在赛位的计算机上规定的文件夹内存储比赛文档。</w:t>
      </w:r>
    </w:p>
    <w:p>
      <w:pPr>
        <w:snapToGrid/>
        <w:spacing w:line="24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11.比赛过程中，选手因个人错误操作造成人身安全事故和设备故障时，裁判长有权中止该队比赛；如非选手个人原因出现设备故障而无法比赛，由裁判长做出调整(调换到备用赛位或调整至最后一场次参加比赛)；如裁判长确认设备故障可由技术支持人员排除故障后继续比赛，排除故障时间不计入比赛用时。</w:t>
      </w:r>
    </w:p>
    <w:p>
      <w:pPr>
        <w:snapToGrid/>
        <w:spacing w:line="24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12.参赛队需提前结束竞赛，应举手向裁判员示意，由裁判员记录比赛结束时间。参赛队结束比赛后不得再进行任何操作。</w:t>
      </w:r>
    </w:p>
    <w:p>
      <w:pPr>
        <w:snapToGrid/>
        <w:spacing w:line="24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13.选手须按照要求提交比赛结果，配合裁判做好赛场情况记录，并与裁判一起签字确认，不得拒签。</w:t>
      </w:r>
    </w:p>
    <w:p>
      <w:pPr>
        <w:snapToGrid/>
        <w:spacing w:line="24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14.竞赛结束后选手应先到指定地点，待工作人员宣布竞赛结束，方可离开。</w:t>
      </w:r>
    </w:p>
    <w:p>
      <w:pPr>
        <w:snapToGrid/>
        <w:spacing w:line="24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15.比赛过程中，所有比赛任务由选手自行完成，如有比赛任务不能自行完成，选手可以提出弃权，弃权部分不得分。</w:t>
      </w:r>
    </w:p>
    <w:p>
      <w:pPr>
        <w:snapToGrid/>
        <w:spacing w:line="24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16.不乱摆放工具，不乱丢杂物，完成工作任务后应清洁赛位，整理工量刃具，废弃物品等不得遗留在赛位上。</w:t>
      </w:r>
    </w:p>
    <w:p>
      <w:pPr>
        <w:snapToGrid/>
        <w:spacing w:line="24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17.文明用语，尊重裁判和其他选手。</w:t>
      </w:r>
    </w:p>
    <w:p>
      <w:pPr>
        <w:snapToGrid/>
        <w:spacing w:line="24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18.任何人不得以任何方式暗示、指导、帮助参赛选手。</w:t>
      </w:r>
    </w:p>
    <w:p>
      <w:pPr>
        <w:snapToGrid/>
        <w:spacing w:line="24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19.比赛过程中，除参加当场次比赛的选手、执行裁判员、现场工作人员和经批准的人员外，其他人员一律不得进入比赛现场；比赛结束后，参赛人员应根据指令及时退出比赛现场。</w:t>
      </w:r>
    </w:p>
    <w:p>
      <w:pPr>
        <w:snapToGrid/>
        <w:spacing w:line="24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20.裁判长在比赛结束前15分钟提醒选手。裁判长发布比赛结束指令后所有参赛队应立即停止操作，按要求清理赛位，不得以任何理由拖延。</w:t>
      </w:r>
    </w:p>
    <w:p>
      <w:pPr>
        <w:snapToGrid/>
        <w:spacing w:line="24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21.参赛选手须经现场裁判员检查许可后方能离开赛场。选手不得将竞赛任务书、图纸、草稿纸和工具等与比赛有关的物品带离赛场。</w:t>
      </w:r>
    </w:p>
    <w:p>
      <w:pPr>
        <w:pStyle w:val="3"/>
        <w:snapToGrid w:val="0"/>
        <w:spacing w:line="500" w:lineRule="exact"/>
        <w:ind w:firstLine="600"/>
        <w:jc w:val="left"/>
      </w:pPr>
      <w:r>
        <w:rPr>
          <w:rFonts w:hint="eastAsia"/>
        </w:rPr>
        <w:t>（三）成绩评定及公布</w:t>
      </w:r>
    </w:p>
    <w:p>
      <w:pPr>
        <w:snapToGrid w:val="0"/>
        <w:spacing w:line="500" w:lineRule="exact"/>
        <w:ind w:firstLine="600"/>
        <w:rPr>
          <w:rFonts w:ascii="仿宋_GB2312" w:hAnsi="仿宋_GB2312" w:eastAsia="仿宋_GB2312"/>
          <w:b/>
          <w:bCs/>
          <w:sz w:val="30"/>
        </w:rPr>
      </w:pPr>
      <w:r>
        <w:rPr>
          <w:rFonts w:hint="eastAsia" w:ascii="仿宋_GB2312" w:hAnsi="仿宋_GB2312" w:eastAsia="仿宋_GB2312"/>
          <w:b/>
          <w:bCs/>
          <w:sz w:val="30"/>
        </w:rPr>
        <w:t>1.组织分工</w:t>
      </w:r>
    </w:p>
    <w:p>
      <w:pPr>
        <w:snapToGrid/>
        <w:spacing w:line="24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在赛项执委会的领导下成立检录组、裁判组和仲裁组。</w:t>
      </w:r>
    </w:p>
    <w:p>
      <w:pPr>
        <w:snapToGrid/>
        <w:spacing w:line="24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（1）检录工作人员负责对参赛队伍（选手）进行点名登记、身份核对等工作。检录工作由赛项承办院校工作人员承担。</w:t>
      </w:r>
    </w:p>
    <w:p>
      <w:pPr>
        <w:snapToGrid/>
        <w:spacing w:line="24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（2）裁判组实行“裁判长负责制”。裁判组设裁判长1名，全面负责赛项的裁判管理工作并处理比赛中出现的争议问题。</w:t>
      </w:r>
    </w:p>
    <w:p>
      <w:pPr>
        <w:snapToGrid/>
        <w:spacing w:line="24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3）裁判员根据比赛需要分为加密裁判、现场裁判和评分裁判。加密裁判负责组织参赛队伍（选手）抽签，对参赛队信息、抽签代码、比赛作品等进行加密，加密裁判不参与评分工作。现场裁判按规定做好赛场记录，维护赛场纪律，评定参赛队的现场得分。评分裁判负责对参赛队伍（选手）的比赛任务完成、比赛表现按赛项评分标准进行评定。</w:t>
      </w:r>
    </w:p>
    <w:p>
      <w:pPr>
        <w:snapToGrid/>
        <w:spacing w:line="24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（4）仲裁组负责接受由参赛队领队提出的仲裁申诉，组织复议并公布复议结果。</w:t>
      </w:r>
    </w:p>
    <w:p>
      <w:pPr>
        <w:snapToGrid/>
        <w:spacing w:line="240" w:lineRule="auto"/>
        <w:ind w:firstLine="600" w:firstLineChars="200"/>
        <w:rPr>
          <w:rFonts w:hint="eastAsia" w:ascii="仿宋" w:hAnsi="仿宋" w:eastAsia="仿宋" w:cs="仿宋"/>
          <w:b w:val="0"/>
          <w:bCs w:val="0"/>
          <w:sz w:val="30"/>
          <w:szCs w:val="30"/>
        </w:rPr>
      </w:pPr>
      <w:r>
        <w:rPr>
          <w:rFonts w:hint="eastAsia" w:ascii="仿宋" w:hAnsi="仿宋" w:eastAsia="仿宋" w:cs="仿宋"/>
          <w:b w:val="0"/>
          <w:bCs w:val="0"/>
          <w:sz w:val="30"/>
          <w:szCs w:val="30"/>
        </w:rPr>
        <w:t>2.成绩评分</w:t>
      </w:r>
    </w:p>
    <w:p>
      <w:pPr>
        <w:snapToGrid/>
        <w:spacing w:line="240" w:lineRule="auto"/>
        <w:ind w:firstLine="600" w:firstLineChars="200"/>
        <w:rPr>
          <w:rFonts w:hint="eastAsia" w:ascii="仿宋" w:hAnsi="仿宋" w:eastAsia="仿宋" w:cs="仿宋"/>
          <w:b w:val="0"/>
          <w:bCs w:val="0"/>
          <w:sz w:val="30"/>
          <w:szCs w:val="30"/>
        </w:rPr>
      </w:pPr>
      <w:r>
        <w:rPr>
          <w:rFonts w:hint="eastAsia" w:ascii="仿宋" w:hAnsi="仿宋" w:eastAsia="仿宋" w:cs="仿宋"/>
          <w:b w:val="0"/>
          <w:bCs w:val="0"/>
          <w:sz w:val="30"/>
          <w:szCs w:val="30"/>
        </w:rPr>
        <w:t>（1）结果评分</w:t>
      </w:r>
    </w:p>
    <w:p>
      <w:pPr>
        <w:snapToGrid/>
        <w:spacing w:line="24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评分裁判依据赛项评价标准对参赛队伍提交的竞赛作品进行评判。</w:t>
      </w:r>
    </w:p>
    <w:p>
      <w:pPr>
        <w:snapToGrid/>
        <w:spacing w:line="240" w:lineRule="auto"/>
        <w:ind w:firstLine="600" w:firstLineChars="200"/>
        <w:rPr>
          <w:rFonts w:hint="eastAsia" w:ascii="仿宋" w:hAnsi="仿宋" w:eastAsia="仿宋" w:cs="仿宋"/>
          <w:b w:val="0"/>
          <w:bCs w:val="0"/>
          <w:sz w:val="30"/>
          <w:szCs w:val="30"/>
        </w:rPr>
      </w:pPr>
      <w:r>
        <w:rPr>
          <w:rFonts w:hint="eastAsia" w:ascii="仿宋" w:hAnsi="仿宋" w:eastAsia="仿宋" w:cs="仿宋"/>
          <w:b w:val="0"/>
          <w:bCs w:val="0"/>
          <w:sz w:val="30"/>
          <w:szCs w:val="30"/>
        </w:rPr>
        <w:t>（2）抽检复核</w:t>
      </w:r>
    </w:p>
    <w:p>
      <w:pPr>
        <w:snapToGrid/>
        <w:spacing w:line="24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为保障成绩统计的准确性，执委会对赛项总成绩进行抽检复核。错误率超过5%的，则认定为非小概率事件，裁判组需对所有成绩进行复核。</w:t>
      </w:r>
    </w:p>
    <w:p>
      <w:pPr>
        <w:pStyle w:val="2"/>
        <w:snapToGrid w:val="0"/>
        <w:spacing w:line="540" w:lineRule="exact"/>
        <w:ind w:firstLine="643" w:firstLineChars="200"/>
        <w:rPr>
          <w:rFonts w:hint="eastAsia"/>
          <w:b/>
          <w:bCs w:val="0"/>
          <w:color w:val="auto"/>
          <w:shd w:val="clear" w:color="auto" w:fill="auto"/>
        </w:rPr>
      </w:pPr>
      <w:r>
        <w:rPr>
          <w:rFonts w:hint="eastAsia"/>
          <w:b/>
          <w:bCs w:val="0"/>
          <w:color w:val="auto"/>
          <w:shd w:val="clear" w:color="auto" w:fill="auto"/>
        </w:rPr>
        <w:t>六、技术规范</w:t>
      </w:r>
    </w:p>
    <w:p>
      <w:pPr>
        <w:snapToGrid w:val="0"/>
        <w:spacing w:line="560" w:lineRule="exact"/>
        <w:ind w:firstLine="602" w:firstLineChars="200"/>
        <w:jc w:val="left"/>
        <w:rPr>
          <w:rFonts w:ascii="仿宋_GB2312" w:hAnsi="宋体" w:eastAsia="仿宋_GB2312" w:cs="Arial"/>
          <w:b/>
          <w:bCs/>
          <w:color w:val="000000"/>
          <w:kern w:val="0"/>
          <w:sz w:val="30"/>
          <w:szCs w:val="30"/>
        </w:rPr>
      </w:pPr>
      <w:r>
        <w:rPr>
          <w:rFonts w:hint="eastAsia" w:ascii="仿宋_GB2312" w:hAnsi="宋体" w:eastAsia="仿宋_GB2312" w:cs="Arial"/>
          <w:b/>
          <w:bCs/>
          <w:color w:val="000000"/>
          <w:kern w:val="0"/>
          <w:sz w:val="30"/>
          <w:szCs w:val="30"/>
        </w:rPr>
        <w:t>（一）职业道德</w:t>
      </w:r>
    </w:p>
    <w:p>
      <w:pPr>
        <w:snapToGrid w:val="0"/>
        <w:spacing w:line="560" w:lineRule="exact"/>
        <w:ind w:firstLine="600" w:firstLineChars="200"/>
        <w:jc w:val="left"/>
        <w:rPr>
          <w:rFonts w:ascii="仿宋_GB2312" w:hAnsi="宋体" w:eastAsia="仿宋_GB2312" w:cs="Arial"/>
          <w:color w:val="000000"/>
          <w:kern w:val="0"/>
          <w:sz w:val="30"/>
          <w:szCs w:val="30"/>
        </w:rPr>
      </w:pPr>
      <w:r>
        <w:rPr>
          <w:rFonts w:ascii="仿宋_GB2312" w:hAnsi="宋体" w:eastAsia="仿宋_GB2312" w:cs="Arial"/>
          <w:color w:val="000000"/>
          <w:kern w:val="0"/>
          <w:sz w:val="30"/>
          <w:szCs w:val="30"/>
        </w:rPr>
        <w:t>1.</w:t>
      </w:r>
      <w:r>
        <w:rPr>
          <w:rFonts w:hint="eastAsia" w:ascii="仿宋_GB2312" w:hAnsi="宋体" w:eastAsia="仿宋_GB2312" w:cs="Arial"/>
          <w:color w:val="000000"/>
          <w:kern w:val="0"/>
          <w:sz w:val="30"/>
          <w:szCs w:val="30"/>
        </w:rPr>
        <w:t>敬业爱岗，忠于职守，严于律已；</w:t>
      </w:r>
    </w:p>
    <w:p>
      <w:pPr>
        <w:snapToGrid w:val="0"/>
        <w:spacing w:line="560" w:lineRule="exact"/>
        <w:ind w:firstLine="600" w:firstLineChars="200"/>
        <w:jc w:val="left"/>
        <w:rPr>
          <w:rFonts w:ascii="仿宋_GB2312" w:hAnsi="宋体" w:eastAsia="仿宋_GB2312" w:cs="Arial"/>
          <w:color w:val="000000"/>
          <w:kern w:val="0"/>
          <w:sz w:val="30"/>
          <w:szCs w:val="30"/>
        </w:rPr>
      </w:pPr>
      <w:r>
        <w:rPr>
          <w:rFonts w:ascii="仿宋_GB2312" w:hAnsi="宋体" w:eastAsia="仿宋_GB2312" w:cs="Arial"/>
          <w:color w:val="000000"/>
          <w:kern w:val="0"/>
          <w:sz w:val="30"/>
          <w:szCs w:val="30"/>
        </w:rPr>
        <w:t>2.</w:t>
      </w:r>
      <w:r>
        <w:rPr>
          <w:rFonts w:hint="eastAsia" w:ascii="仿宋_GB2312" w:hAnsi="宋体" w:eastAsia="仿宋_GB2312" w:cs="Arial"/>
          <w:color w:val="000000"/>
          <w:kern w:val="0"/>
          <w:sz w:val="30"/>
          <w:szCs w:val="30"/>
        </w:rPr>
        <w:t>刻苦学习，钻研业务，善于观察，勤于思考；</w:t>
      </w:r>
    </w:p>
    <w:p>
      <w:pPr>
        <w:snapToGrid w:val="0"/>
        <w:spacing w:line="560" w:lineRule="exact"/>
        <w:ind w:firstLine="600" w:firstLineChars="200"/>
        <w:jc w:val="left"/>
        <w:rPr>
          <w:rFonts w:ascii="仿宋_GB2312" w:hAnsi="宋体" w:eastAsia="仿宋_GB2312" w:cs="Arial"/>
          <w:color w:val="000000"/>
          <w:kern w:val="0"/>
          <w:sz w:val="30"/>
          <w:szCs w:val="30"/>
        </w:rPr>
      </w:pPr>
      <w:r>
        <w:rPr>
          <w:rFonts w:ascii="仿宋_GB2312" w:hAnsi="宋体" w:eastAsia="仿宋_GB2312" w:cs="Arial"/>
          <w:color w:val="000000"/>
          <w:kern w:val="0"/>
          <w:sz w:val="30"/>
          <w:szCs w:val="30"/>
        </w:rPr>
        <w:t>3.</w:t>
      </w:r>
      <w:r>
        <w:rPr>
          <w:rFonts w:hint="eastAsia" w:ascii="仿宋_GB2312" w:hAnsi="宋体" w:eastAsia="仿宋_GB2312" w:cs="Arial"/>
          <w:color w:val="000000"/>
          <w:kern w:val="0"/>
          <w:sz w:val="30"/>
          <w:szCs w:val="30"/>
        </w:rPr>
        <w:t>认真负责，吃苦耐劳；</w:t>
      </w:r>
    </w:p>
    <w:p>
      <w:pPr>
        <w:snapToGrid w:val="0"/>
        <w:spacing w:line="560" w:lineRule="exact"/>
        <w:ind w:firstLine="600" w:firstLineChars="200"/>
        <w:jc w:val="left"/>
        <w:rPr>
          <w:rFonts w:ascii="仿宋_GB2312" w:hAnsi="宋体" w:eastAsia="仿宋_GB2312" w:cs="Arial"/>
          <w:color w:val="000000"/>
          <w:kern w:val="0"/>
          <w:sz w:val="30"/>
          <w:szCs w:val="30"/>
        </w:rPr>
      </w:pPr>
      <w:r>
        <w:rPr>
          <w:rFonts w:ascii="仿宋_GB2312" w:hAnsi="宋体" w:eastAsia="仿宋_GB2312" w:cs="Arial"/>
          <w:color w:val="000000"/>
          <w:kern w:val="0"/>
          <w:sz w:val="30"/>
          <w:szCs w:val="30"/>
        </w:rPr>
        <w:t>4.</w:t>
      </w:r>
      <w:r>
        <w:rPr>
          <w:rFonts w:hint="eastAsia" w:ascii="仿宋_GB2312" w:hAnsi="宋体" w:eastAsia="仿宋_GB2312" w:cs="Arial"/>
          <w:color w:val="000000"/>
          <w:kern w:val="0"/>
          <w:sz w:val="30"/>
          <w:szCs w:val="30"/>
        </w:rPr>
        <w:t>遵守操作规程，安全、文明生产；</w:t>
      </w:r>
    </w:p>
    <w:p>
      <w:pPr>
        <w:snapToGrid w:val="0"/>
        <w:spacing w:line="560" w:lineRule="exact"/>
        <w:ind w:firstLine="600" w:firstLineChars="200"/>
        <w:jc w:val="left"/>
        <w:rPr>
          <w:rFonts w:ascii="仿宋_GB2312" w:hAnsi="宋体" w:eastAsia="仿宋_GB2312" w:cs="Arial"/>
          <w:color w:val="000000"/>
          <w:kern w:val="0"/>
          <w:sz w:val="30"/>
          <w:szCs w:val="30"/>
        </w:rPr>
      </w:pPr>
      <w:r>
        <w:rPr>
          <w:rFonts w:ascii="仿宋_GB2312" w:hAnsi="宋体" w:eastAsia="仿宋_GB2312" w:cs="Arial"/>
          <w:color w:val="000000"/>
          <w:kern w:val="0"/>
          <w:sz w:val="30"/>
          <w:szCs w:val="30"/>
        </w:rPr>
        <w:t>5.</w:t>
      </w:r>
      <w:r>
        <w:rPr>
          <w:rFonts w:hint="eastAsia" w:ascii="仿宋_GB2312" w:hAnsi="宋体" w:eastAsia="仿宋_GB2312" w:cs="Arial"/>
          <w:color w:val="000000"/>
          <w:kern w:val="0"/>
          <w:sz w:val="30"/>
          <w:szCs w:val="30"/>
        </w:rPr>
        <w:t>着装规范整洁，爱护设备，保持工作环境清洁有序。</w:t>
      </w:r>
    </w:p>
    <w:p>
      <w:pPr>
        <w:snapToGrid w:val="0"/>
        <w:spacing w:line="560" w:lineRule="exact"/>
        <w:ind w:firstLine="602" w:firstLineChars="200"/>
        <w:jc w:val="left"/>
        <w:rPr>
          <w:rFonts w:hint="eastAsia" w:ascii="仿宋_GB2312" w:hAnsi="宋体" w:eastAsia="仿宋_GB2312" w:cs="Arial"/>
          <w:b/>
          <w:bCs/>
          <w:color w:val="000000"/>
          <w:kern w:val="0"/>
          <w:sz w:val="30"/>
          <w:szCs w:val="30"/>
        </w:rPr>
      </w:pPr>
      <w:r>
        <w:rPr>
          <w:rFonts w:hint="eastAsia" w:ascii="仿宋_GB2312" w:hAnsi="宋体" w:eastAsia="仿宋_GB2312" w:cs="Arial"/>
          <w:b/>
          <w:bCs/>
          <w:color w:val="000000"/>
          <w:kern w:val="0"/>
          <w:sz w:val="30"/>
          <w:szCs w:val="30"/>
        </w:rPr>
        <w:t>（二）相关知识与技能</w:t>
      </w:r>
    </w:p>
    <w:p>
      <w:pPr>
        <w:snapToGrid w:val="0"/>
        <w:spacing w:line="560" w:lineRule="exact"/>
        <w:ind w:firstLine="602" w:firstLineChars="200"/>
        <w:jc w:val="left"/>
        <w:rPr>
          <w:rFonts w:ascii="仿宋_GB2312" w:hAnsi="宋体" w:eastAsia="仿宋_GB2312" w:cs="Arial"/>
          <w:b/>
          <w:color w:val="000000"/>
          <w:kern w:val="0"/>
          <w:sz w:val="30"/>
          <w:szCs w:val="30"/>
        </w:rPr>
      </w:pPr>
      <w:r>
        <w:rPr>
          <w:rFonts w:hint="eastAsia" w:ascii="仿宋_GB2312" w:hAnsi="宋体" w:eastAsia="仿宋_GB2312" w:cs="Arial"/>
          <w:b/>
          <w:color w:val="000000"/>
          <w:kern w:val="0"/>
          <w:sz w:val="30"/>
          <w:szCs w:val="30"/>
        </w:rPr>
        <w:t>1、理论知识：</w:t>
      </w:r>
    </w:p>
    <w:p>
      <w:pPr>
        <w:snapToGrid w:val="0"/>
        <w:spacing w:line="560" w:lineRule="exact"/>
        <w:ind w:firstLine="150" w:firstLineChars="50"/>
        <w:jc w:val="left"/>
        <w:rPr>
          <w:rFonts w:ascii="仿宋_GB2312" w:hAnsi="宋体" w:eastAsia="仿宋_GB2312" w:cs="Arial"/>
          <w:color w:val="000000"/>
          <w:kern w:val="0"/>
          <w:sz w:val="30"/>
          <w:szCs w:val="30"/>
        </w:rPr>
      </w:pPr>
      <w:r>
        <w:rPr>
          <w:rFonts w:hint="eastAsia" w:ascii="仿宋_GB2312" w:hAnsi="宋体" w:eastAsia="仿宋_GB2312" w:cs="Arial"/>
          <w:color w:val="000000"/>
          <w:kern w:val="0"/>
          <w:sz w:val="30"/>
          <w:szCs w:val="30"/>
        </w:rPr>
        <w:t xml:space="preserve"> （1）能够看懂较复杂程度的机械零件2D、3D图，明白各项技术要求的含义。</w:t>
      </w:r>
    </w:p>
    <w:p>
      <w:pPr>
        <w:snapToGrid w:val="0"/>
        <w:spacing w:line="560" w:lineRule="exact"/>
        <w:ind w:firstLine="300" w:firstLineChars="100"/>
        <w:jc w:val="left"/>
        <w:rPr>
          <w:rFonts w:ascii="仿宋_GB2312" w:hAnsi="宋体" w:eastAsia="仿宋_GB2312" w:cs="Arial"/>
          <w:color w:val="000000"/>
          <w:kern w:val="0"/>
          <w:sz w:val="30"/>
          <w:szCs w:val="30"/>
        </w:rPr>
      </w:pPr>
      <w:r>
        <w:rPr>
          <w:rFonts w:hint="eastAsia" w:ascii="仿宋_GB2312" w:hAnsi="宋体" w:eastAsia="仿宋_GB2312" w:cs="Arial"/>
          <w:color w:val="000000"/>
          <w:kern w:val="0"/>
          <w:sz w:val="30"/>
          <w:szCs w:val="30"/>
        </w:rPr>
        <w:t>（2）熟悉机械制造工艺，能根据给定的零件图和给定的机床和刀具，编制加工工艺。</w:t>
      </w:r>
    </w:p>
    <w:p>
      <w:pPr>
        <w:snapToGrid w:val="0"/>
        <w:spacing w:line="560" w:lineRule="exact"/>
        <w:ind w:firstLine="300" w:firstLineChars="100"/>
        <w:jc w:val="left"/>
        <w:rPr>
          <w:rFonts w:ascii="仿宋_GB2312" w:hAnsi="宋体" w:eastAsia="仿宋_GB2312" w:cs="Arial"/>
          <w:color w:val="000000"/>
          <w:kern w:val="0"/>
          <w:sz w:val="30"/>
          <w:szCs w:val="30"/>
        </w:rPr>
      </w:pPr>
      <w:r>
        <w:rPr>
          <w:rFonts w:hint="eastAsia" w:ascii="仿宋_GB2312" w:hAnsi="宋体" w:eastAsia="仿宋_GB2312" w:cs="Arial"/>
          <w:color w:val="000000"/>
          <w:kern w:val="0"/>
          <w:sz w:val="30"/>
          <w:szCs w:val="30"/>
        </w:rPr>
        <w:t>（3）能够掌握五轴联动机床操作原理，工件找正定位及加紧方法。</w:t>
      </w:r>
    </w:p>
    <w:p>
      <w:pPr>
        <w:snapToGrid w:val="0"/>
        <w:spacing w:line="560" w:lineRule="exact"/>
        <w:ind w:firstLine="300" w:firstLineChars="100"/>
        <w:jc w:val="left"/>
        <w:rPr>
          <w:rFonts w:ascii="仿宋_GB2312" w:hAnsi="宋体" w:eastAsia="仿宋_GB2312" w:cs="Arial"/>
          <w:color w:val="000000"/>
          <w:kern w:val="0"/>
          <w:sz w:val="30"/>
          <w:szCs w:val="30"/>
        </w:rPr>
      </w:pPr>
      <w:r>
        <w:rPr>
          <w:rFonts w:hint="eastAsia" w:ascii="仿宋_GB2312" w:hAnsi="宋体" w:eastAsia="仿宋_GB2312" w:cs="Arial"/>
          <w:color w:val="000000"/>
          <w:kern w:val="0"/>
          <w:sz w:val="30"/>
          <w:szCs w:val="30"/>
        </w:rPr>
        <w:t>（4）熟悉常用的CAD/CAM软件3D绘图功能和加工程序编制功能</w:t>
      </w:r>
    </w:p>
    <w:p>
      <w:pPr>
        <w:snapToGrid w:val="0"/>
        <w:spacing w:line="560" w:lineRule="exact"/>
        <w:ind w:firstLine="300" w:firstLineChars="100"/>
        <w:jc w:val="left"/>
        <w:rPr>
          <w:rFonts w:ascii="仿宋_GB2312" w:hAnsi="宋体" w:eastAsia="仿宋_GB2312" w:cs="Arial"/>
          <w:color w:val="000000"/>
          <w:kern w:val="0"/>
          <w:sz w:val="30"/>
          <w:szCs w:val="30"/>
        </w:rPr>
      </w:pPr>
      <w:r>
        <w:rPr>
          <w:rFonts w:hint="eastAsia" w:ascii="仿宋_GB2312" w:hAnsi="宋体" w:eastAsia="仿宋_GB2312" w:cs="Arial"/>
          <w:color w:val="000000"/>
          <w:kern w:val="0"/>
          <w:sz w:val="30"/>
          <w:szCs w:val="30"/>
        </w:rPr>
        <w:t>（5）熟悉常用金属材料的切削特点，熟悉各种刀具的使用方法，适用工况，会根据切削状态适当调整刀具切削参数。</w:t>
      </w:r>
    </w:p>
    <w:p>
      <w:pPr>
        <w:snapToGrid w:val="0"/>
        <w:spacing w:line="560" w:lineRule="exact"/>
        <w:ind w:firstLine="300" w:firstLineChars="100"/>
        <w:jc w:val="left"/>
        <w:rPr>
          <w:rFonts w:ascii="仿宋_GB2312" w:hAnsi="宋体" w:eastAsia="仿宋_GB2312" w:cs="Arial"/>
          <w:color w:val="000000"/>
          <w:kern w:val="0"/>
          <w:sz w:val="30"/>
          <w:szCs w:val="30"/>
        </w:rPr>
      </w:pPr>
      <w:r>
        <w:rPr>
          <w:rFonts w:hint="eastAsia" w:ascii="仿宋_GB2312" w:hAnsi="宋体" w:eastAsia="仿宋_GB2312" w:cs="Arial"/>
          <w:color w:val="000000"/>
          <w:kern w:val="0"/>
          <w:sz w:val="30"/>
          <w:szCs w:val="30"/>
        </w:rPr>
        <w:t>（6）熟练掌握各种通用量具的校对和使用方法。</w:t>
      </w:r>
    </w:p>
    <w:p>
      <w:pPr>
        <w:snapToGrid w:val="0"/>
        <w:spacing w:line="560" w:lineRule="exact"/>
        <w:ind w:firstLine="300" w:firstLineChars="100"/>
        <w:jc w:val="left"/>
        <w:rPr>
          <w:rFonts w:ascii="仿宋_GB2312" w:hAnsi="宋体" w:eastAsia="仿宋_GB2312" w:cs="Arial"/>
          <w:color w:val="000000"/>
          <w:kern w:val="0"/>
          <w:sz w:val="30"/>
          <w:szCs w:val="30"/>
        </w:rPr>
      </w:pPr>
      <w:r>
        <w:rPr>
          <w:rFonts w:hint="eastAsia" w:ascii="仿宋_GB2312" w:hAnsi="宋体" w:eastAsia="仿宋_GB2312" w:cs="Arial"/>
          <w:color w:val="000000"/>
          <w:kern w:val="0"/>
          <w:sz w:val="30"/>
          <w:szCs w:val="30"/>
        </w:rPr>
        <w:t>（7）熟练掌握生产操作过程中的安全知识，对于紧急情况的处理办法。</w:t>
      </w:r>
    </w:p>
    <w:p>
      <w:pPr>
        <w:snapToGrid w:val="0"/>
        <w:spacing w:line="560" w:lineRule="exact"/>
        <w:ind w:firstLine="602" w:firstLineChars="200"/>
        <w:jc w:val="left"/>
        <w:rPr>
          <w:rFonts w:hint="eastAsia" w:ascii="仿宋_GB2312" w:hAnsi="宋体" w:eastAsia="仿宋_GB2312" w:cs="Arial"/>
          <w:b/>
          <w:color w:val="000000"/>
          <w:kern w:val="0"/>
          <w:sz w:val="30"/>
          <w:szCs w:val="30"/>
        </w:rPr>
      </w:pPr>
      <w:r>
        <w:rPr>
          <w:rFonts w:hint="eastAsia" w:ascii="仿宋_GB2312" w:hAnsi="宋体" w:eastAsia="仿宋_GB2312" w:cs="Arial"/>
          <w:b/>
          <w:color w:val="000000"/>
          <w:kern w:val="0"/>
          <w:sz w:val="30"/>
          <w:szCs w:val="30"/>
        </w:rPr>
        <w:t>2、技能要求：</w:t>
      </w:r>
    </w:p>
    <w:p>
      <w:pPr>
        <w:snapToGrid w:val="0"/>
        <w:spacing w:line="560" w:lineRule="exact"/>
        <w:ind w:firstLine="450" w:firstLineChars="150"/>
        <w:jc w:val="left"/>
        <w:rPr>
          <w:rFonts w:ascii="仿宋_GB2312" w:hAnsi="宋体" w:eastAsia="仿宋_GB2312" w:cs="Arial"/>
          <w:color w:val="000000"/>
          <w:kern w:val="0"/>
          <w:sz w:val="30"/>
          <w:szCs w:val="30"/>
        </w:rPr>
      </w:pPr>
      <w:r>
        <w:rPr>
          <w:rFonts w:hint="eastAsia" w:ascii="仿宋_GB2312" w:hAnsi="宋体" w:eastAsia="仿宋_GB2312" w:cs="Arial"/>
          <w:color w:val="000000"/>
          <w:kern w:val="0"/>
          <w:sz w:val="30"/>
          <w:szCs w:val="30"/>
        </w:rPr>
        <w:t>（1）五轴机床操作</w:t>
      </w:r>
    </w:p>
    <w:p>
      <w:pPr>
        <w:snapToGrid w:val="0"/>
        <w:spacing w:line="560" w:lineRule="exact"/>
        <w:ind w:firstLine="150" w:firstLineChars="50"/>
        <w:jc w:val="left"/>
        <w:rPr>
          <w:rFonts w:hint="eastAsia" w:ascii="仿宋_GB2312" w:hAnsi="宋体" w:eastAsia="仿宋_GB2312" w:cs="Arial"/>
          <w:color w:val="000000"/>
          <w:kern w:val="0"/>
          <w:sz w:val="30"/>
          <w:szCs w:val="30"/>
        </w:rPr>
      </w:pPr>
      <w:r>
        <w:rPr>
          <w:rFonts w:hint="eastAsia" w:ascii="仿宋_GB2312" w:hAnsi="宋体" w:eastAsia="仿宋_GB2312" w:cs="Arial"/>
          <w:color w:val="000000"/>
          <w:kern w:val="0"/>
          <w:sz w:val="30"/>
          <w:szCs w:val="30"/>
        </w:rPr>
        <w:t xml:space="preserve">   掌握机床的结构原理及各项功能的使用；</w:t>
      </w:r>
    </w:p>
    <w:p>
      <w:pPr>
        <w:snapToGrid w:val="0"/>
        <w:spacing w:line="560" w:lineRule="exact"/>
        <w:ind w:firstLine="150" w:firstLineChars="50"/>
        <w:jc w:val="left"/>
        <w:rPr>
          <w:rFonts w:ascii="仿宋_GB2312" w:hAnsi="宋体" w:eastAsia="仿宋_GB2312" w:cs="Arial"/>
          <w:color w:val="000000"/>
          <w:kern w:val="0"/>
          <w:sz w:val="30"/>
          <w:szCs w:val="30"/>
        </w:rPr>
      </w:pPr>
      <w:r>
        <w:rPr>
          <w:rFonts w:hint="eastAsia" w:ascii="仿宋_GB2312" w:hAnsi="宋体" w:eastAsia="仿宋_GB2312" w:cs="Arial"/>
          <w:color w:val="000000"/>
          <w:kern w:val="0"/>
          <w:sz w:val="30"/>
          <w:szCs w:val="30"/>
        </w:rPr>
        <w:t xml:space="preserve"> </w:t>
      </w:r>
      <w:r>
        <w:rPr>
          <w:rFonts w:hint="eastAsia" w:ascii="仿宋_GB2312" w:hAnsi="宋体" w:eastAsia="仿宋_GB2312" w:cs="Arial"/>
          <w:color w:val="000000"/>
          <w:kern w:val="0"/>
          <w:sz w:val="30"/>
          <w:szCs w:val="30"/>
          <w:lang w:val="en-US" w:eastAsia="zh-CN"/>
        </w:rPr>
        <w:t xml:space="preserve"> </w:t>
      </w:r>
      <w:r>
        <w:rPr>
          <w:rFonts w:hint="eastAsia" w:ascii="仿宋_GB2312" w:hAnsi="宋体" w:eastAsia="仿宋_GB2312" w:cs="Arial"/>
          <w:color w:val="000000"/>
          <w:kern w:val="0"/>
          <w:sz w:val="30"/>
          <w:szCs w:val="30"/>
        </w:rPr>
        <w:t>（2）工件装夹定位和找正。</w:t>
      </w:r>
    </w:p>
    <w:p>
      <w:pPr>
        <w:snapToGrid w:val="0"/>
        <w:spacing w:line="560" w:lineRule="exact"/>
        <w:ind w:firstLine="150" w:firstLineChars="50"/>
        <w:jc w:val="left"/>
        <w:rPr>
          <w:rFonts w:ascii="仿宋_GB2312" w:hAnsi="宋体" w:eastAsia="仿宋_GB2312" w:cs="Arial"/>
          <w:color w:val="000000"/>
          <w:kern w:val="0"/>
          <w:sz w:val="30"/>
          <w:szCs w:val="30"/>
        </w:rPr>
      </w:pPr>
      <w:r>
        <w:rPr>
          <w:rFonts w:hint="eastAsia" w:ascii="仿宋_GB2312" w:hAnsi="宋体" w:eastAsia="仿宋_GB2312" w:cs="Arial"/>
          <w:color w:val="000000"/>
          <w:kern w:val="0"/>
          <w:sz w:val="30"/>
          <w:szCs w:val="30"/>
        </w:rPr>
        <w:t>掌握工件定位找正，装夹工件，能严格按照工艺要求装夹；</w:t>
      </w:r>
    </w:p>
    <w:p>
      <w:pPr>
        <w:snapToGrid w:val="0"/>
        <w:spacing w:line="560" w:lineRule="exact"/>
        <w:ind w:firstLine="450" w:firstLineChars="150"/>
        <w:jc w:val="left"/>
        <w:rPr>
          <w:rFonts w:ascii="仿宋_GB2312" w:hAnsi="宋体" w:eastAsia="仿宋_GB2312" w:cs="Arial"/>
          <w:color w:val="000000"/>
          <w:kern w:val="0"/>
          <w:sz w:val="30"/>
          <w:szCs w:val="30"/>
        </w:rPr>
      </w:pPr>
      <w:r>
        <w:rPr>
          <w:rFonts w:hint="eastAsia" w:ascii="仿宋_GB2312" w:hAnsi="宋体" w:eastAsia="仿宋_GB2312" w:cs="Arial"/>
          <w:color w:val="000000"/>
          <w:kern w:val="0"/>
          <w:sz w:val="30"/>
          <w:szCs w:val="30"/>
        </w:rPr>
        <w:t>（3）在线测量系统</w:t>
      </w:r>
    </w:p>
    <w:p>
      <w:pPr>
        <w:snapToGrid w:val="0"/>
        <w:spacing w:line="560" w:lineRule="exact"/>
        <w:ind w:firstLine="600" w:firstLineChars="200"/>
        <w:jc w:val="left"/>
        <w:rPr>
          <w:rFonts w:ascii="仿宋_GB2312" w:hAnsi="宋体" w:eastAsia="仿宋_GB2312" w:cs="Arial"/>
          <w:color w:val="000000"/>
          <w:kern w:val="0"/>
          <w:sz w:val="30"/>
          <w:szCs w:val="30"/>
        </w:rPr>
      </w:pPr>
      <w:r>
        <w:rPr>
          <w:rFonts w:hint="eastAsia" w:ascii="仿宋_GB2312" w:hAnsi="宋体" w:eastAsia="仿宋_GB2312" w:cs="Arial"/>
          <w:color w:val="000000"/>
          <w:kern w:val="0"/>
          <w:sz w:val="30"/>
          <w:szCs w:val="30"/>
        </w:rPr>
        <w:t>掌握使用机床在线测量系统，和在线测量程序对复杂零件曲面进行测量，并根据工艺指标评价测量结果是否合格完成自检。</w:t>
      </w:r>
    </w:p>
    <w:p>
      <w:pPr>
        <w:snapToGrid w:val="0"/>
        <w:spacing w:line="560" w:lineRule="exact"/>
        <w:ind w:firstLine="450" w:firstLineChars="150"/>
        <w:jc w:val="left"/>
        <w:rPr>
          <w:rFonts w:ascii="仿宋_GB2312" w:hAnsi="宋体" w:eastAsia="仿宋_GB2312" w:cs="Arial"/>
          <w:color w:val="000000"/>
          <w:kern w:val="0"/>
          <w:sz w:val="30"/>
          <w:szCs w:val="30"/>
        </w:rPr>
      </w:pPr>
      <w:r>
        <w:rPr>
          <w:rFonts w:hint="eastAsia" w:ascii="仿宋_GB2312" w:hAnsi="宋体" w:eastAsia="仿宋_GB2312" w:cs="Arial"/>
          <w:color w:val="000000"/>
          <w:kern w:val="0"/>
          <w:sz w:val="30"/>
          <w:szCs w:val="30"/>
        </w:rPr>
        <w:t>（4）CAD/CAM软件使用</w:t>
      </w:r>
    </w:p>
    <w:p>
      <w:pPr>
        <w:snapToGrid w:val="0"/>
        <w:spacing w:line="560" w:lineRule="exact"/>
        <w:ind w:firstLine="150" w:firstLineChars="50"/>
        <w:jc w:val="left"/>
        <w:rPr>
          <w:rFonts w:ascii="仿宋_GB2312" w:hAnsi="宋体" w:eastAsia="仿宋_GB2312" w:cs="Arial"/>
          <w:color w:val="000000"/>
          <w:kern w:val="0"/>
          <w:sz w:val="30"/>
          <w:szCs w:val="30"/>
        </w:rPr>
      </w:pPr>
      <w:r>
        <w:rPr>
          <w:rFonts w:hint="eastAsia" w:ascii="仿宋_GB2312" w:hAnsi="宋体" w:eastAsia="仿宋_GB2312" w:cs="Arial"/>
          <w:color w:val="000000"/>
          <w:kern w:val="0"/>
          <w:sz w:val="30"/>
          <w:szCs w:val="30"/>
        </w:rPr>
        <w:t>熟练掌握利用CAD/CAM软件进行较复杂程度的零件（含复杂曲面）程序编制。</w:t>
      </w:r>
    </w:p>
    <w:p>
      <w:pPr>
        <w:snapToGrid w:val="0"/>
        <w:spacing w:line="560" w:lineRule="exact"/>
        <w:ind w:firstLine="450" w:firstLineChars="150"/>
        <w:jc w:val="left"/>
        <w:rPr>
          <w:rFonts w:ascii="仿宋_GB2312" w:hAnsi="宋体" w:eastAsia="仿宋_GB2312" w:cs="Arial"/>
          <w:color w:val="000000"/>
          <w:kern w:val="0"/>
          <w:sz w:val="30"/>
          <w:szCs w:val="30"/>
        </w:rPr>
      </w:pPr>
      <w:r>
        <w:rPr>
          <w:rFonts w:hint="eastAsia" w:ascii="仿宋_GB2312" w:hAnsi="宋体" w:eastAsia="仿宋_GB2312" w:cs="Arial"/>
          <w:color w:val="000000"/>
          <w:kern w:val="0"/>
          <w:sz w:val="30"/>
          <w:szCs w:val="30"/>
        </w:rPr>
        <w:t>（5）模拟仿真加工</w:t>
      </w:r>
    </w:p>
    <w:p>
      <w:pPr>
        <w:snapToGrid w:val="0"/>
        <w:spacing w:line="560" w:lineRule="exact"/>
        <w:ind w:firstLine="600" w:firstLineChars="200"/>
        <w:jc w:val="left"/>
        <w:rPr>
          <w:rFonts w:ascii="仿宋_GB2312" w:hAnsi="宋体" w:eastAsia="仿宋_GB2312" w:cs="Arial"/>
          <w:color w:val="000000"/>
          <w:kern w:val="0"/>
          <w:sz w:val="30"/>
          <w:szCs w:val="30"/>
        </w:rPr>
      </w:pPr>
      <w:r>
        <w:rPr>
          <w:rFonts w:hint="eastAsia" w:ascii="仿宋_GB2312" w:hAnsi="宋体" w:eastAsia="仿宋_GB2312" w:cs="Arial"/>
          <w:color w:val="000000"/>
          <w:kern w:val="0"/>
          <w:sz w:val="30"/>
          <w:szCs w:val="30"/>
        </w:rPr>
        <w:t>能够利用给定的模拟仿真软件，根据程序单按顺序对加工程序进行逐一模拟仿真，能检测和识别各部分的干涉碰撞以及超行程的问题。</w:t>
      </w:r>
    </w:p>
    <w:p>
      <w:pPr>
        <w:snapToGrid w:val="0"/>
        <w:spacing w:line="560" w:lineRule="exact"/>
        <w:ind w:firstLine="450" w:firstLineChars="150"/>
        <w:jc w:val="left"/>
        <w:rPr>
          <w:rFonts w:ascii="仿宋_GB2312" w:hAnsi="宋体" w:eastAsia="仿宋_GB2312" w:cs="Arial"/>
          <w:color w:val="000000"/>
          <w:kern w:val="0"/>
          <w:sz w:val="30"/>
          <w:szCs w:val="30"/>
        </w:rPr>
      </w:pPr>
      <w:r>
        <w:rPr>
          <w:rFonts w:hint="eastAsia" w:ascii="仿宋_GB2312" w:hAnsi="宋体" w:eastAsia="仿宋_GB2312" w:cs="Arial"/>
          <w:color w:val="000000"/>
          <w:kern w:val="0"/>
          <w:sz w:val="30"/>
          <w:szCs w:val="30"/>
        </w:rPr>
        <w:t>（6）安全生产、文明生产</w:t>
      </w:r>
    </w:p>
    <w:p>
      <w:pPr>
        <w:snapToGrid w:val="0"/>
        <w:spacing w:line="560" w:lineRule="exact"/>
        <w:ind w:firstLine="600" w:firstLineChars="200"/>
        <w:jc w:val="left"/>
        <w:rPr>
          <w:rFonts w:ascii="仿宋_GB2312" w:hAnsi="宋体" w:eastAsia="仿宋_GB2312" w:cs="Arial"/>
          <w:color w:val="000000"/>
          <w:kern w:val="0"/>
          <w:sz w:val="30"/>
          <w:szCs w:val="30"/>
        </w:rPr>
      </w:pPr>
      <w:r>
        <w:rPr>
          <w:rFonts w:hint="eastAsia" w:ascii="仿宋_GB2312" w:hAnsi="宋体" w:eastAsia="仿宋_GB2312" w:cs="Arial"/>
          <w:color w:val="000000"/>
          <w:kern w:val="0"/>
          <w:sz w:val="30"/>
          <w:szCs w:val="30"/>
        </w:rPr>
        <w:t>不违规操作，做到工艺文件不齐备不动刀，程序未仿真不动刀，零点、刀具未校对不动刀。</w:t>
      </w:r>
    </w:p>
    <w:p>
      <w:pPr>
        <w:snapToGrid w:val="0"/>
        <w:spacing w:line="560" w:lineRule="exact"/>
        <w:ind w:firstLine="600" w:firstLineChars="200"/>
        <w:jc w:val="left"/>
        <w:rPr>
          <w:rFonts w:ascii="仿宋_GB2312" w:hAnsi="宋体" w:eastAsia="仿宋_GB2312" w:cs="Arial"/>
          <w:color w:val="000000"/>
          <w:kern w:val="0"/>
          <w:sz w:val="30"/>
          <w:szCs w:val="30"/>
        </w:rPr>
      </w:pPr>
      <w:r>
        <w:rPr>
          <w:rFonts w:hint="eastAsia" w:ascii="仿宋_GB2312" w:hAnsi="宋体" w:eastAsia="仿宋_GB2312" w:cs="Arial"/>
          <w:color w:val="000000"/>
          <w:kern w:val="0"/>
          <w:sz w:val="30"/>
          <w:szCs w:val="30"/>
        </w:rPr>
        <w:t>能够遵照定置管理制度，妥善保管刀具、量具、夹具、及周转中的零件。保持工位整齐、整洁，机床简单保养。</w:t>
      </w:r>
    </w:p>
    <w:p>
      <w:pPr>
        <w:snapToGrid w:val="0"/>
        <w:spacing w:line="560" w:lineRule="exact"/>
        <w:ind w:firstLine="602" w:firstLineChars="200"/>
        <w:jc w:val="left"/>
        <w:rPr>
          <w:rFonts w:hint="eastAsia" w:ascii="仿宋_GB2312" w:hAnsi="宋体" w:eastAsia="仿宋_GB2312" w:cs="Arial"/>
          <w:b/>
          <w:bCs/>
          <w:color w:val="000000"/>
          <w:kern w:val="0"/>
          <w:sz w:val="30"/>
          <w:szCs w:val="30"/>
        </w:rPr>
      </w:pPr>
      <w:r>
        <w:rPr>
          <w:rFonts w:hint="eastAsia" w:ascii="仿宋_GB2312" w:hAnsi="宋体" w:eastAsia="仿宋_GB2312" w:cs="Arial"/>
          <w:b/>
          <w:bCs/>
          <w:color w:val="000000"/>
          <w:kern w:val="0"/>
          <w:sz w:val="30"/>
          <w:szCs w:val="30"/>
        </w:rPr>
        <w:t>（三）生产工艺与标准等</w:t>
      </w:r>
    </w:p>
    <w:p>
      <w:pPr>
        <w:snapToGrid w:val="0"/>
        <w:spacing w:line="560" w:lineRule="exact"/>
        <w:ind w:firstLine="600" w:firstLineChars="200"/>
        <w:jc w:val="left"/>
        <w:rPr>
          <w:rFonts w:ascii="仿宋_GB2312" w:hAnsi="宋体" w:eastAsia="仿宋_GB2312" w:cs="Arial"/>
          <w:color w:val="000000"/>
          <w:kern w:val="0"/>
          <w:sz w:val="30"/>
          <w:szCs w:val="30"/>
        </w:rPr>
      </w:pPr>
      <w:r>
        <w:rPr>
          <w:rFonts w:hint="eastAsia" w:ascii="仿宋_GB2312" w:hAnsi="宋体" w:eastAsia="仿宋_GB2312" w:cs="Arial"/>
          <w:color w:val="000000"/>
          <w:kern w:val="0"/>
          <w:sz w:val="30"/>
          <w:szCs w:val="30"/>
        </w:rPr>
        <w:t>1</w:t>
      </w:r>
      <w:r>
        <w:rPr>
          <w:rFonts w:ascii="仿宋_GB2312" w:hAnsi="宋体" w:eastAsia="仿宋_GB2312" w:cs="Arial"/>
          <w:color w:val="000000"/>
          <w:kern w:val="0"/>
          <w:sz w:val="30"/>
          <w:szCs w:val="30"/>
        </w:rPr>
        <w:t>.</w:t>
      </w:r>
      <w:r>
        <w:rPr>
          <w:rFonts w:hint="eastAsia" w:ascii="仿宋_GB2312" w:hAnsi="宋体" w:eastAsia="仿宋_GB2312" w:cs="Arial"/>
          <w:color w:val="000000"/>
          <w:kern w:val="0"/>
          <w:sz w:val="30"/>
          <w:szCs w:val="30"/>
        </w:rPr>
        <w:t>加工中心操作工（五轴高级工）国家职业标准</w:t>
      </w:r>
    </w:p>
    <w:p>
      <w:pPr>
        <w:snapToGrid w:val="0"/>
        <w:spacing w:line="560" w:lineRule="exact"/>
        <w:ind w:firstLine="600" w:firstLineChars="200"/>
        <w:jc w:val="left"/>
        <w:rPr>
          <w:rFonts w:ascii="仿宋_GB2312" w:hAnsi="宋体" w:eastAsia="仿宋_GB2312" w:cs="Arial"/>
          <w:color w:val="000000"/>
          <w:kern w:val="0"/>
          <w:sz w:val="28"/>
          <w:szCs w:val="28"/>
        </w:rPr>
      </w:pPr>
      <w:r>
        <w:rPr>
          <w:rFonts w:hint="eastAsia" w:ascii="仿宋_GB2312" w:hAnsi="宋体" w:eastAsia="仿宋_GB2312" w:cs="Arial"/>
          <w:color w:val="000000"/>
          <w:kern w:val="0"/>
          <w:sz w:val="30"/>
          <w:szCs w:val="30"/>
        </w:rPr>
        <w:t>2</w:t>
      </w:r>
      <w:r>
        <w:rPr>
          <w:rFonts w:ascii="仿宋_GB2312" w:hAnsi="宋体" w:eastAsia="仿宋_GB2312" w:cs="Arial"/>
          <w:color w:val="000000"/>
          <w:kern w:val="0"/>
          <w:sz w:val="30"/>
          <w:szCs w:val="30"/>
        </w:rPr>
        <w:t>.</w:t>
      </w:r>
      <w:r>
        <w:rPr>
          <w:rFonts w:hint="eastAsia" w:ascii="仿宋_GB2312" w:hAnsi="宋体" w:eastAsia="仿宋_GB2312" w:cs="Arial"/>
          <w:color w:val="000000"/>
          <w:kern w:val="0"/>
          <w:sz w:val="30"/>
          <w:szCs w:val="30"/>
        </w:rPr>
        <w:t>数控程序员国家职业标准</w:t>
      </w:r>
    </w:p>
    <w:p>
      <w:pPr>
        <w:pStyle w:val="2"/>
        <w:snapToGrid w:val="0"/>
        <w:spacing w:line="540" w:lineRule="exact"/>
        <w:ind w:firstLine="643" w:firstLineChars="200"/>
      </w:pPr>
      <w:r>
        <w:rPr>
          <w:rFonts w:hint="eastAsia"/>
        </w:rPr>
        <w:t>七、技术平台</w:t>
      </w:r>
    </w:p>
    <w:p>
      <w:pPr>
        <w:pStyle w:val="3"/>
        <w:widowControl/>
        <w:spacing w:line="560" w:lineRule="exact"/>
        <w:ind w:firstLine="600"/>
        <w:jc w:val="left"/>
      </w:pPr>
      <w:r>
        <w:rPr>
          <w:rFonts w:hint="eastAsia"/>
        </w:rPr>
        <w:t>（一）主要硬件技术规格</w:t>
      </w:r>
    </w:p>
    <w:tbl>
      <w:tblPr>
        <w:tblStyle w:val="9"/>
        <w:tblW w:w="8781" w:type="dxa"/>
        <w:jc w:val="center"/>
        <w:tblInd w:w="0" w:type="dxa"/>
        <w:tblLayout w:type="fixed"/>
        <w:tblCellMar>
          <w:top w:w="0" w:type="dxa"/>
          <w:left w:w="108" w:type="dxa"/>
          <w:bottom w:w="0" w:type="dxa"/>
          <w:right w:w="108" w:type="dxa"/>
        </w:tblCellMar>
      </w:tblPr>
      <w:tblGrid>
        <w:gridCol w:w="716"/>
        <w:gridCol w:w="2182"/>
        <w:gridCol w:w="4936"/>
        <w:gridCol w:w="947"/>
      </w:tblGrid>
      <w:tr>
        <w:tblPrEx>
          <w:tblLayout w:type="fixed"/>
          <w:tblCellMar>
            <w:top w:w="0" w:type="dxa"/>
            <w:left w:w="108" w:type="dxa"/>
            <w:bottom w:w="0" w:type="dxa"/>
            <w:right w:w="108" w:type="dxa"/>
          </w:tblCellMar>
        </w:tblPrEx>
        <w:trPr>
          <w:trHeight w:val="454" w:hRule="atLeast"/>
          <w:jc w:val="center"/>
        </w:trPr>
        <w:tc>
          <w:tcPr>
            <w:tcW w:w="71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napToGrid w:val="0"/>
              <w:jc w:val="center"/>
              <w:rPr>
                <w:rFonts w:ascii="仿宋_GB2312" w:hAnsi="华文中宋" w:eastAsia="仿宋_GB2312"/>
                <w:b/>
                <w:bCs/>
                <w:sz w:val="24"/>
              </w:rPr>
            </w:pPr>
            <w:r>
              <w:rPr>
                <w:rFonts w:hint="eastAsia" w:ascii="仿宋_GB2312" w:hAnsi="华文中宋" w:eastAsia="仿宋_GB2312"/>
                <w:b/>
                <w:bCs/>
                <w:sz w:val="24"/>
              </w:rPr>
              <w:t>序号</w:t>
            </w:r>
          </w:p>
        </w:tc>
        <w:tc>
          <w:tcPr>
            <w:tcW w:w="218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napToGrid w:val="0"/>
              <w:jc w:val="center"/>
              <w:rPr>
                <w:rFonts w:ascii="仿宋_GB2312" w:hAnsi="华文中宋" w:eastAsia="仿宋_GB2312"/>
                <w:b/>
                <w:bCs/>
                <w:sz w:val="24"/>
              </w:rPr>
            </w:pPr>
            <w:r>
              <w:rPr>
                <w:rFonts w:hint="eastAsia" w:ascii="仿宋_GB2312" w:hAnsi="华文中宋" w:eastAsia="仿宋_GB2312"/>
                <w:b/>
                <w:bCs/>
                <w:sz w:val="24"/>
              </w:rPr>
              <w:t>器材名称</w:t>
            </w:r>
          </w:p>
        </w:tc>
        <w:tc>
          <w:tcPr>
            <w:tcW w:w="49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napToGrid w:val="0"/>
              <w:jc w:val="center"/>
              <w:rPr>
                <w:rFonts w:ascii="仿宋_GB2312" w:hAnsi="华文中宋" w:eastAsia="仿宋_GB2312"/>
                <w:b/>
                <w:bCs/>
                <w:sz w:val="24"/>
              </w:rPr>
            </w:pPr>
            <w:r>
              <w:rPr>
                <w:rFonts w:hint="eastAsia" w:ascii="仿宋_GB2312" w:hAnsi="华文中宋" w:eastAsia="仿宋_GB2312"/>
                <w:b/>
                <w:bCs/>
                <w:sz w:val="24"/>
              </w:rPr>
              <w:t>规格/技术参数</w:t>
            </w:r>
          </w:p>
        </w:tc>
        <w:tc>
          <w:tcPr>
            <w:tcW w:w="94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napToGrid w:val="0"/>
              <w:jc w:val="center"/>
              <w:rPr>
                <w:rFonts w:ascii="仿宋_GB2312" w:hAnsi="华文中宋" w:eastAsia="仿宋_GB2312"/>
                <w:b/>
                <w:bCs/>
                <w:sz w:val="24"/>
              </w:rPr>
            </w:pPr>
            <w:r>
              <w:rPr>
                <w:rFonts w:hint="eastAsia" w:ascii="仿宋_GB2312" w:hAnsi="华文中宋" w:eastAsia="仿宋_GB2312"/>
                <w:b/>
                <w:bCs/>
                <w:sz w:val="24"/>
              </w:rPr>
              <w:t>数量</w:t>
            </w:r>
          </w:p>
        </w:tc>
      </w:tr>
      <w:tr>
        <w:tblPrEx>
          <w:tblLayout w:type="fixed"/>
          <w:tblCellMar>
            <w:top w:w="0" w:type="dxa"/>
            <w:left w:w="108" w:type="dxa"/>
            <w:bottom w:w="0" w:type="dxa"/>
            <w:right w:w="108" w:type="dxa"/>
          </w:tblCellMar>
        </w:tblPrEx>
        <w:trPr>
          <w:trHeight w:val="1223" w:hRule="atLeast"/>
          <w:jc w:val="center"/>
        </w:trPr>
        <w:tc>
          <w:tcPr>
            <w:tcW w:w="71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napToGrid w:val="0"/>
              <w:jc w:val="center"/>
              <w:rPr>
                <w:rFonts w:ascii="仿宋_GB2312" w:hAnsi="华文中宋" w:eastAsia="仿宋_GB2312"/>
                <w:sz w:val="24"/>
              </w:rPr>
            </w:pPr>
            <w:r>
              <w:rPr>
                <w:rFonts w:hint="eastAsia" w:ascii="仿宋_GB2312" w:hAnsi="华文中宋" w:eastAsia="仿宋_GB2312"/>
                <w:sz w:val="24"/>
              </w:rPr>
              <w:t>1</w:t>
            </w:r>
          </w:p>
        </w:tc>
        <w:tc>
          <w:tcPr>
            <w:tcW w:w="218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napToGrid w:val="0"/>
              <w:jc w:val="center"/>
              <w:rPr>
                <w:rFonts w:ascii="仿宋_GB2312" w:hAnsi="华文中宋" w:eastAsia="仿宋_GB2312"/>
                <w:sz w:val="24"/>
              </w:rPr>
            </w:pPr>
            <w:r>
              <w:rPr>
                <w:rFonts w:hint="eastAsia" w:ascii="仿宋_GB2312" w:hAnsi="仿宋" w:eastAsia="仿宋_GB2312"/>
                <w:sz w:val="24"/>
              </w:rPr>
              <w:t>计算机</w:t>
            </w:r>
          </w:p>
        </w:tc>
        <w:tc>
          <w:tcPr>
            <w:tcW w:w="49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napToGrid w:val="0"/>
              <w:rPr>
                <w:rFonts w:ascii="仿宋_GB2312" w:hAnsi="华文中宋" w:eastAsia="仿宋_GB2312"/>
                <w:sz w:val="24"/>
              </w:rPr>
            </w:pPr>
            <w:r>
              <w:rPr>
                <w:rFonts w:hint="eastAsia" w:ascii="仿宋_GB2312" w:hAnsi="仿宋" w:eastAsia="仿宋_GB2312"/>
                <w:sz w:val="24"/>
              </w:rPr>
              <w:t>每个工位配备</w:t>
            </w:r>
            <w:r>
              <w:rPr>
                <w:rFonts w:hint="eastAsia" w:ascii="仿宋_GB2312" w:hAnsi="仿宋" w:eastAsia="仿宋_GB2312"/>
                <w:sz w:val="24"/>
                <w:lang w:val="en-US" w:eastAsia="zh-CN"/>
              </w:rPr>
              <w:t>1</w:t>
            </w:r>
            <w:r>
              <w:rPr>
                <w:rFonts w:hint="eastAsia" w:ascii="仿宋_GB2312" w:hAnsi="仿宋" w:eastAsia="仿宋_GB2312"/>
                <w:sz w:val="24"/>
              </w:rPr>
              <w:t>台，基本配置处理器Intel酷睿i7内存≥8G ，硬盘≥100G ，独立显卡4G，19寸及以上显示器</w:t>
            </w:r>
          </w:p>
        </w:tc>
        <w:tc>
          <w:tcPr>
            <w:tcW w:w="94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napToGrid w:val="0"/>
              <w:jc w:val="center"/>
              <w:rPr>
                <w:rFonts w:ascii="仿宋_GB2312" w:hAnsi="华文中宋" w:eastAsia="仿宋_GB2312"/>
                <w:sz w:val="24"/>
              </w:rPr>
            </w:pPr>
            <w:r>
              <w:rPr>
                <w:rFonts w:hint="eastAsia" w:ascii="仿宋_GB2312" w:hAnsi="华文中宋" w:eastAsia="仿宋_GB2312"/>
                <w:sz w:val="24"/>
                <w:lang w:val="en-US" w:eastAsia="zh-CN"/>
              </w:rPr>
              <w:t>15</w:t>
            </w:r>
            <w:r>
              <w:rPr>
                <w:rFonts w:hint="eastAsia" w:ascii="仿宋_GB2312" w:hAnsi="华文中宋" w:eastAsia="仿宋_GB2312"/>
                <w:sz w:val="24"/>
              </w:rPr>
              <w:t>台</w:t>
            </w:r>
          </w:p>
        </w:tc>
      </w:tr>
      <w:tr>
        <w:tblPrEx>
          <w:tblLayout w:type="fixed"/>
          <w:tblCellMar>
            <w:top w:w="0" w:type="dxa"/>
            <w:left w:w="108" w:type="dxa"/>
            <w:bottom w:w="0" w:type="dxa"/>
            <w:right w:w="108" w:type="dxa"/>
          </w:tblCellMar>
        </w:tblPrEx>
        <w:trPr>
          <w:trHeight w:val="8520" w:hRule="atLeast"/>
          <w:jc w:val="center"/>
        </w:trPr>
        <w:tc>
          <w:tcPr>
            <w:tcW w:w="71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napToGrid w:val="0"/>
              <w:jc w:val="center"/>
              <w:rPr>
                <w:rFonts w:ascii="仿宋_GB2312" w:hAnsi="华文中宋" w:eastAsia="仿宋_GB2312"/>
                <w:sz w:val="24"/>
              </w:rPr>
            </w:pPr>
            <w:r>
              <w:rPr>
                <w:rFonts w:hint="eastAsia" w:ascii="仿宋_GB2312" w:hAnsi="华文中宋" w:eastAsia="仿宋_GB2312"/>
                <w:sz w:val="24"/>
              </w:rPr>
              <w:t>2</w:t>
            </w:r>
          </w:p>
          <w:p>
            <w:pPr>
              <w:snapToGrid w:val="0"/>
              <w:jc w:val="center"/>
              <w:rPr>
                <w:rFonts w:ascii="宋体"/>
                <w:sz w:val="24"/>
              </w:rPr>
            </w:pPr>
          </w:p>
        </w:tc>
        <w:tc>
          <w:tcPr>
            <w:tcW w:w="218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napToGrid w:val="0"/>
              <w:jc w:val="center"/>
              <w:rPr>
                <w:rFonts w:ascii="仿宋_GB2312" w:hAnsi="仿宋" w:eastAsia="仿宋_GB2312"/>
                <w:sz w:val="24"/>
              </w:rPr>
            </w:pPr>
            <w:r>
              <w:rPr>
                <w:rFonts w:hint="eastAsia" w:ascii="仿宋_GB2312" w:hAnsi="仿宋" w:eastAsia="仿宋_GB2312"/>
                <w:sz w:val="24"/>
              </w:rPr>
              <w:t>北京精雕集团</w:t>
            </w:r>
          </w:p>
          <w:p>
            <w:pPr>
              <w:snapToGrid w:val="0"/>
              <w:jc w:val="center"/>
              <w:rPr>
                <w:rFonts w:ascii="仿宋_GB2312" w:hAnsi="仿宋" w:eastAsia="仿宋_GB2312"/>
                <w:sz w:val="24"/>
              </w:rPr>
            </w:pPr>
            <w:r>
              <w:rPr>
                <w:rFonts w:hint="eastAsia" w:ascii="仿宋_GB2312" w:hAnsi="仿宋" w:eastAsia="仿宋_GB2312"/>
                <w:sz w:val="24"/>
              </w:rPr>
              <w:t>五轴精雕高速机</w:t>
            </w:r>
          </w:p>
          <w:p>
            <w:pPr>
              <w:snapToGrid w:val="0"/>
              <w:jc w:val="center"/>
              <w:rPr>
                <w:rFonts w:ascii="仿宋_GB2312" w:hAnsi="仿宋" w:eastAsia="仿宋_GB2312"/>
                <w:sz w:val="24"/>
              </w:rPr>
            </w:pPr>
            <w:r>
              <w:rPr>
                <w:rFonts w:hint="eastAsia" w:ascii="仿宋_GB2312" w:hAnsi="仿宋" w:eastAsia="仿宋_GB2312"/>
                <w:sz w:val="24"/>
              </w:rPr>
              <w:t>JDGR400_A15SH</w:t>
            </w:r>
          </w:p>
          <w:p>
            <w:pPr>
              <w:snapToGrid w:val="0"/>
              <w:jc w:val="center"/>
              <w:rPr>
                <w:rFonts w:ascii="宋体"/>
                <w:sz w:val="24"/>
              </w:rPr>
            </w:pPr>
          </w:p>
        </w:tc>
        <w:tc>
          <w:tcPr>
            <w:tcW w:w="49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tabs>
                <w:tab w:val="left" w:pos="3777"/>
              </w:tabs>
              <w:jc w:val="left"/>
              <w:rPr>
                <w:rFonts w:ascii="仿宋" w:hAnsi="仿宋" w:eastAsia="仿宋"/>
                <w:sz w:val="24"/>
              </w:rPr>
            </w:pPr>
            <w:r>
              <w:rPr>
                <w:rFonts w:hint="eastAsia" w:ascii="仿宋" w:hAnsi="仿宋" w:eastAsia="仿宋"/>
                <w:sz w:val="24"/>
              </w:rPr>
              <w:t>X/Y/Z轴运动定位精度： 0.002/0.002/0.002mm</w:t>
            </w:r>
          </w:p>
          <w:p>
            <w:pPr>
              <w:widowControl/>
              <w:tabs>
                <w:tab w:val="left" w:pos="3777"/>
              </w:tabs>
              <w:jc w:val="left"/>
              <w:rPr>
                <w:rFonts w:ascii="仿宋" w:hAnsi="仿宋" w:eastAsia="仿宋"/>
                <w:sz w:val="24"/>
              </w:rPr>
            </w:pPr>
            <w:r>
              <w:rPr>
                <w:rFonts w:hint="eastAsia" w:ascii="仿宋" w:hAnsi="仿宋" w:eastAsia="仿宋"/>
                <w:sz w:val="24"/>
              </w:rPr>
              <w:t>A/C轴运动定位精度： 8"/8"</w:t>
            </w:r>
          </w:p>
          <w:p>
            <w:pPr>
              <w:widowControl/>
              <w:tabs>
                <w:tab w:val="left" w:pos="3777"/>
              </w:tabs>
              <w:jc w:val="left"/>
              <w:rPr>
                <w:rFonts w:ascii="仿宋" w:hAnsi="仿宋" w:eastAsia="仿宋"/>
                <w:sz w:val="24"/>
              </w:rPr>
            </w:pPr>
            <w:r>
              <w:rPr>
                <w:rFonts w:hint="eastAsia" w:ascii="仿宋" w:hAnsi="仿宋" w:eastAsia="仿宋"/>
                <w:sz w:val="24"/>
              </w:rPr>
              <w:t>X/Y/Z轴重复定位精度： 0.0018/0.0018/0.0018mm</w:t>
            </w:r>
          </w:p>
          <w:p>
            <w:pPr>
              <w:widowControl/>
              <w:tabs>
                <w:tab w:val="left" w:pos="3777"/>
              </w:tabs>
              <w:jc w:val="left"/>
              <w:rPr>
                <w:rFonts w:ascii="仿宋" w:hAnsi="仿宋" w:eastAsia="仿宋"/>
                <w:sz w:val="24"/>
              </w:rPr>
            </w:pPr>
            <w:r>
              <w:rPr>
                <w:rFonts w:hint="eastAsia" w:ascii="仿宋" w:hAnsi="仿宋" w:eastAsia="仿宋"/>
                <w:sz w:val="24"/>
              </w:rPr>
              <w:t>A/C轴重复定位精度： 5"/5"</w:t>
            </w:r>
          </w:p>
          <w:p>
            <w:pPr>
              <w:widowControl/>
              <w:tabs>
                <w:tab w:val="left" w:pos="3777"/>
              </w:tabs>
              <w:jc w:val="left"/>
              <w:rPr>
                <w:rFonts w:ascii="仿宋" w:hAnsi="仿宋" w:eastAsia="仿宋"/>
                <w:sz w:val="24"/>
              </w:rPr>
            </w:pPr>
            <w:r>
              <w:rPr>
                <w:rFonts w:hint="eastAsia" w:ascii="仿宋" w:hAnsi="仿宋" w:eastAsia="仿宋"/>
                <w:sz w:val="24"/>
              </w:rPr>
              <w:t>X/Y/Z轴工作行程： 450/700/400mm</w:t>
            </w:r>
          </w:p>
          <w:p>
            <w:pPr>
              <w:widowControl/>
              <w:tabs>
                <w:tab w:val="left" w:pos="3777"/>
              </w:tabs>
              <w:jc w:val="left"/>
              <w:rPr>
                <w:rFonts w:ascii="仿宋" w:hAnsi="仿宋" w:eastAsia="仿宋"/>
                <w:sz w:val="24"/>
              </w:rPr>
            </w:pPr>
            <w:r>
              <w:rPr>
                <w:rFonts w:hint="eastAsia" w:ascii="仿宋" w:hAnsi="仿宋" w:eastAsia="仿宋"/>
                <w:sz w:val="24"/>
              </w:rPr>
              <w:t>A/C轴回转角度： -120～90°/360°</w:t>
            </w:r>
          </w:p>
          <w:p>
            <w:pPr>
              <w:widowControl/>
              <w:tabs>
                <w:tab w:val="left" w:pos="3777"/>
              </w:tabs>
              <w:jc w:val="left"/>
              <w:rPr>
                <w:rFonts w:ascii="仿宋" w:hAnsi="仿宋" w:eastAsia="仿宋"/>
                <w:sz w:val="24"/>
              </w:rPr>
            </w:pPr>
            <w:r>
              <w:rPr>
                <w:rFonts w:hint="eastAsia" w:ascii="仿宋" w:hAnsi="仿宋" w:eastAsia="仿宋"/>
                <w:sz w:val="24"/>
              </w:rPr>
              <w:t>工作台尺寸： Φ400mm</w:t>
            </w:r>
          </w:p>
          <w:p>
            <w:pPr>
              <w:widowControl/>
              <w:tabs>
                <w:tab w:val="left" w:pos="3777"/>
              </w:tabs>
              <w:jc w:val="left"/>
              <w:rPr>
                <w:rFonts w:ascii="仿宋" w:hAnsi="仿宋" w:eastAsia="仿宋"/>
                <w:sz w:val="24"/>
              </w:rPr>
            </w:pPr>
            <w:r>
              <w:rPr>
                <w:rFonts w:hint="eastAsia" w:ascii="仿宋" w:hAnsi="仿宋" w:eastAsia="仿宋"/>
                <w:sz w:val="24"/>
              </w:rPr>
              <w:t>最大工作负载： 150Kg</w:t>
            </w:r>
          </w:p>
          <w:p>
            <w:pPr>
              <w:widowControl/>
              <w:tabs>
                <w:tab w:val="left" w:pos="3777"/>
              </w:tabs>
              <w:jc w:val="left"/>
              <w:rPr>
                <w:rFonts w:ascii="仿宋" w:hAnsi="仿宋" w:eastAsia="仿宋"/>
                <w:sz w:val="24"/>
              </w:rPr>
            </w:pPr>
            <w:r>
              <w:rPr>
                <w:rFonts w:hint="eastAsia" w:ascii="仿宋" w:hAnsi="仿宋" w:eastAsia="仿宋"/>
                <w:sz w:val="24"/>
              </w:rPr>
              <w:t>主轴最高转速： 20000rpm（Ф150）</w:t>
            </w:r>
          </w:p>
          <w:p>
            <w:pPr>
              <w:widowControl/>
              <w:tabs>
                <w:tab w:val="left" w:pos="3777"/>
              </w:tabs>
              <w:jc w:val="left"/>
              <w:rPr>
                <w:rFonts w:ascii="仿宋" w:hAnsi="仿宋" w:eastAsia="仿宋"/>
                <w:sz w:val="24"/>
              </w:rPr>
            </w:pPr>
            <w:r>
              <w:rPr>
                <w:rFonts w:hint="eastAsia" w:ascii="仿宋" w:hAnsi="仿宋" w:eastAsia="仿宋"/>
                <w:sz w:val="24"/>
              </w:rPr>
              <w:t>刀柄规格： HSK-A50</w:t>
            </w:r>
          </w:p>
          <w:p>
            <w:pPr>
              <w:widowControl/>
              <w:tabs>
                <w:tab w:val="left" w:pos="3777"/>
              </w:tabs>
              <w:jc w:val="left"/>
              <w:rPr>
                <w:rFonts w:ascii="仿宋" w:hAnsi="仿宋" w:eastAsia="仿宋"/>
                <w:sz w:val="24"/>
              </w:rPr>
            </w:pPr>
            <w:r>
              <w:rPr>
                <w:rFonts w:hint="eastAsia" w:ascii="仿宋" w:hAnsi="仿宋" w:eastAsia="仿宋"/>
                <w:sz w:val="24"/>
              </w:rPr>
              <w:t>X/Y/Z快速移动速度： 15m/min</w:t>
            </w:r>
          </w:p>
          <w:p>
            <w:pPr>
              <w:widowControl/>
              <w:tabs>
                <w:tab w:val="left" w:pos="3777"/>
              </w:tabs>
              <w:jc w:val="left"/>
              <w:rPr>
                <w:rFonts w:ascii="仿宋" w:hAnsi="仿宋" w:eastAsia="仿宋"/>
                <w:sz w:val="24"/>
              </w:rPr>
            </w:pPr>
            <w:r>
              <w:rPr>
                <w:rFonts w:hint="eastAsia" w:ascii="仿宋" w:hAnsi="仿宋" w:eastAsia="仿宋"/>
                <w:sz w:val="24"/>
              </w:rPr>
              <w:t>A/C轴快速旋转速度： 30/50rpm</w:t>
            </w:r>
          </w:p>
          <w:p>
            <w:pPr>
              <w:widowControl/>
              <w:tabs>
                <w:tab w:val="left" w:pos="3777"/>
              </w:tabs>
              <w:jc w:val="left"/>
              <w:rPr>
                <w:rFonts w:ascii="仿宋" w:hAnsi="仿宋" w:eastAsia="仿宋"/>
                <w:sz w:val="24"/>
              </w:rPr>
            </w:pPr>
            <w:r>
              <w:rPr>
                <w:rFonts w:hint="eastAsia" w:ascii="仿宋" w:hAnsi="仿宋" w:eastAsia="仿宋"/>
                <w:sz w:val="24"/>
              </w:rPr>
              <w:t>X/Y/Z最高切削进给速度： 10m/min</w:t>
            </w:r>
          </w:p>
          <w:p>
            <w:pPr>
              <w:widowControl/>
              <w:tabs>
                <w:tab w:val="left" w:pos="3777"/>
              </w:tabs>
              <w:jc w:val="left"/>
              <w:rPr>
                <w:rFonts w:ascii="仿宋" w:hAnsi="仿宋" w:eastAsia="仿宋"/>
                <w:sz w:val="24"/>
              </w:rPr>
            </w:pPr>
            <w:r>
              <w:rPr>
                <w:rFonts w:hint="eastAsia" w:ascii="仿宋" w:hAnsi="仿宋" w:eastAsia="仿宋"/>
                <w:sz w:val="24"/>
              </w:rPr>
              <w:t>A/C轴最高切削进给速度： 15/25rpm</w:t>
            </w:r>
          </w:p>
          <w:p>
            <w:pPr>
              <w:widowControl/>
              <w:tabs>
                <w:tab w:val="left" w:pos="3777"/>
              </w:tabs>
              <w:jc w:val="left"/>
              <w:rPr>
                <w:rFonts w:ascii="仿宋" w:hAnsi="仿宋" w:eastAsia="仿宋"/>
                <w:sz w:val="24"/>
              </w:rPr>
            </w:pPr>
            <w:r>
              <w:rPr>
                <w:rFonts w:hint="eastAsia" w:ascii="仿宋" w:hAnsi="仿宋" w:eastAsia="仿宋"/>
                <w:sz w:val="24"/>
              </w:rPr>
              <w:t>工作电压： 三相380V/50Hz</w:t>
            </w:r>
          </w:p>
          <w:p>
            <w:pPr>
              <w:widowControl/>
              <w:tabs>
                <w:tab w:val="left" w:pos="3777"/>
              </w:tabs>
              <w:jc w:val="left"/>
              <w:rPr>
                <w:rFonts w:ascii="仿宋" w:hAnsi="仿宋" w:eastAsia="仿宋"/>
                <w:sz w:val="24"/>
              </w:rPr>
            </w:pPr>
            <w:r>
              <w:rPr>
                <w:rFonts w:hint="eastAsia" w:ascii="仿宋" w:hAnsi="仿宋" w:eastAsia="仿宋"/>
                <w:sz w:val="24"/>
              </w:rPr>
              <w:t>驱动系统： 交流伺服</w:t>
            </w:r>
          </w:p>
          <w:p>
            <w:pPr>
              <w:widowControl/>
              <w:tabs>
                <w:tab w:val="left" w:pos="3777"/>
              </w:tabs>
              <w:jc w:val="left"/>
              <w:rPr>
                <w:rFonts w:ascii="仿宋" w:hAnsi="仿宋" w:eastAsia="仿宋"/>
                <w:sz w:val="24"/>
              </w:rPr>
            </w:pPr>
            <w:r>
              <w:rPr>
                <w:rFonts w:hint="eastAsia" w:ascii="仿宋" w:hAnsi="仿宋" w:eastAsia="仿宋"/>
                <w:sz w:val="24"/>
              </w:rPr>
              <w:t>气源压力： ≥0.52MPa</w:t>
            </w:r>
          </w:p>
          <w:p>
            <w:pPr>
              <w:widowControl/>
              <w:tabs>
                <w:tab w:val="left" w:pos="3777"/>
              </w:tabs>
              <w:jc w:val="left"/>
              <w:rPr>
                <w:rFonts w:ascii="仿宋" w:hAnsi="仿宋" w:eastAsia="仿宋"/>
                <w:sz w:val="24"/>
              </w:rPr>
            </w:pPr>
            <w:r>
              <w:rPr>
                <w:rFonts w:hint="eastAsia" w:ascii="仿宋" w:hAnsi="仿宋" w:eastAsia="仿宋"/>
                <w:sz w:val="24"/>
              </w:rPr>
              <w:t>机床总重： 10000Kg</w:t>
            </w:r>
          </w:p>
          <w:p>
            <w:pPr>
              <w:widowControl/>
              <w:tabs>
                <w:tab w:val="left" w:pos="3777"/>
              </w:tabs>
              <w:jc w:val="left"/>
              <w:rPr>
                <w:rFonts w:ascii="仿宋" w:hAnsi="仿宋" w:eastAsia="仿宋"/>
                <w:sz w:val="24"/>
              </w:rPr>
            </w:pPr>
            <w:r>
              <w:rPr>
                <w:rFonts w:hint="eastAsia" w:ascii="仿宋" w:hAnsi="仿宋" w:eastAsia="仿宋"/>
                <w:sz w:val="24"/>
              </w:rPr>
              <w:t>数控系统： 国产JD50数控系统</w:t>
            </w:r>
          </w:p>
          <w:p>
            <w:pPr>
              <w:widowControl/>
              <w:tabs>
                <w:tab w:val="left" w:pos="3777"/>
              </w:tabs>
              <w:jc w:val="left"/>
              <w:rPr>
                <w:rFonts w:ascii="仿宋" w:hAnsi="仿宋" w:eastAsia="仿宋"/>
                <w:sz w:val="24"/>
              </w:rPr>
            </w:pPr>
            <w:r>
              <w:rPr>
                <w:rFonts w:hint="eastAsia" w:ascii="仿宋" w:hAnsi="仿宋" w:eastAsia="仿宋"/>
                <w:sz w:val="24"/>
              </w:rPr>
              <w:t>对刀仪： 配备自动对刀仪</w:t>
            </w:r>
          </w:p>
          <w:p>
            <w:pPr>
              <w:widowControl/>
              <w:tabs>
                <w:tab w:val="left" w:pos="3777"/>
              </w:tabs>
              <w:jc w:val="left"/>
              <w:rPr>
                <w:rFonts w:ascii="仿宋_GB2312" w:hAnsi="仿宋" w:eastAsia="仿宋_GB2312"/>
                <w:sz w:val="24"/>
              </w:rPr>
            </w:pPr>
            <w:r>
              <w:rPr>
                <w:rFonts w:hint="eastAsia" w:ascii="仿宋" w:hAnsi="仿宋" w:eastAsia="仿宋"/>
                <w:sz w:val="24"/>
              </w:rPr>
              <w:t>精雕在机测量系统：加装雷尼绍在机测量系统，可以实现“在机测量和智能修正”功能。</w:t>
            </w:r>
          </w:p>
          <w:p>
            <w:pPr>
              <w:widowControl/>
              <w:tabs>
                <w:tab w:val="left" w:pos="3777"/>
              </w:tabs>
              <w:jc w:val="left"/>
              <w:rPr>
                <w:rFonts w:ascii="仿宋" w:hAnsi="仿宋" w:eastAsia="仿宋"/>
                <w:sz w:val="24"/>
              </w:rPr>
            </w:pPr>
            <w:r>
              <w:rPr>
                <w:rFonts w:hint="eastAsia" w:ascii="仿宋" w:hAnsi="仿宋" w:eastAsia="仿宋"/>
                <w:sz w:val="24"/>
              </w:rPr>
              <w:t>①测量系统：包括增加测头接口、软件升级、刀库改造、测头刀柄等内容。</w:t>
            </w:r>
          </w:p>
          <w:p>
            <w:pPr>
              <w:widowControl/>
              <w:tabs>
                <w:tab w:val="left" w:pos="3777"/>
              </w:tabs>
              <w:jc w:val="left"/>
              <w:rPr>
                <w:rFonts w:ascii="仿宋_GB2312" w:hAnsi="仿宋" w:eastAsia="仿宋_GB2312"/>
                <w:sz w:val="24"/>
              </w:rPr>
            </w:pPr>
            <w:r>
              <w:rPr>
                <w:rFonts w:hint="eastAsia" w:ascii="仿宋" w:hAnsi="仿宋" w:eastAsia="仿宋"/>
                <w:sz w:val="24"/>
              </w:rPr>
              <w:t>②雷尼绍OMP40-2测头及接收器：项目包括测头、接收器、接收器支架、线缆护管及测针1支。</w:t>
            </w:r>
          </w:p>
        </w:tc>
        <w:tc>
          <w:tcPr>
            <w:tcW w:w="94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napToGrid w:val="0"/>
              <w:jc w:val="center"/>
              <w:rPr>
                <w:rFonts w:ascii="仿宋_GB2312" w:hAnsi="仿宋" w:eastAsia="仿宋_GB2312"/>
                <w:sz w:val="24"/>
              </w:rPr>
            </w:pPr>
            <w:r>
              <w:rPr>
                <w:rFonts w:hint="eastAsia" w:ascii="仿宋_GB2312" w:hAnsi="仿宋" w:eastAsia="仿宋_GB2312"/>
                <w:sz w:val="24"/>
              </w:rPr>
              <w:t>1</w:t>
            </w:r>
            <w:r>
              <w:rPr>
                <w:rFonts w:ascii="仿宋_GB2312" w:hAnsi="仿宋" w:eastAsia="仿宋_GB2312"/>
                <w:sz w:val="24"/>
              </w:rPr>
              <w:t>5</w:t>
            </w:r>
            <w:r>
              <w:rPr>
                <w:rFonts w:hint="eastAsia" w:ascii="仿宋_GB2312" w:hAnsi="仿宋" w:eastAsia="仿宋_GB2312"/>
                <w:sz w:val="24"/>
              </w:rPr>
              <w:t>台</w:t>
            </w:r>
          </w:p>
          <w:p>
            <w:pPr>
              <w:snapToGrid w:val="0"/>
              <w:jc w:val="center"/>
              <w:rPr>
                <w:rFonts w:ascii="宋体"/>
                <w:sz w:val="24"/>
              </w:rPr>
            </w:pPr>
          </w:p>
        </w:tc>
      </w:tr>
      <w:tr>
        <w:tblPrEx>
          <w:tblLayout w:type="fixed"/>
          <w:tblCellMar>
            <w:top w:w="0" w:type="dxa"/>
            <w:left w:w="108" w:type="dxa"/>
            <w:bottom w:w="0" w:type="dxa"/>
            <w:right w:w="108" w:type="dxa"/>
          </w:tblCellMar>
        </w:tblPrEx>
        <w:trPr>
          <w:trHeight w:val="1937" w:hRule="atLeast"/>
          <w:jc w:val="center"/>
        </w:trPr>
        <w:tc>
          <w:tcPr>
            <w:tcW w:w="71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napToGrid w:val="0"/>
              <w:jc w:val="center"/>
              <w:rPr>
                <w:rFonts w:ascii="仿宋_GB2312" w:hAnsi="华文中宋" w:eastAsia="仿宋_GB2312"/>
                <w:color w:val="auto"/>
                <w:sz w:val="24"/>
              </w:rPr>
            </w:pPr>
            <w:r>
              <w:rPr>
                <w:rFonts w:hint="eastAsia" w:ascii="仿宋_GB2312" w:hAnsi="华文中宋" w:eastAsia="仿宋_GB2312"/>
                <w:color w:val="auto"/>
                <w:sz w:val="24"/>
              </w:rPr>
              <w:t>3</w:t>
            </w:r>
          </w:p>
        </w:tc>
        <w:tc>
          <w:tcPr>
            <w:tcW w:w="218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napToGrid w:val="0"/>
              <w:jc w:val="center"/>
              <w:rPr>
                <w:rFonts w:hint="eastAsia" w:ascii="仿宋_GB2312" w:hAnsi="仿宋" w:eastAsia="仿宋_GB2312"/>
                <w:color w:val="auto"/>
                <w:sz w:val="24"/>
                <w:lang w:val="en-US" w:eastAsia="zh-CN"/>
              </w:rPr>
            </w:pPr>
            <w:r>
              <w:rPr>
                <w:rFonts w:hint="eastAsia" w:ascii="仿宋_GB2312" w:hAnsi="仿宋" w:eastAsia="仿宋_GB2312"/>
                <w:color w:val="auto"/>
                <w:sz w:val="24"/>
                <w:lang w:val="en-US" w:eastAsia="zh-CN"/>
              </w:rPr>
              <w:t>ZEISS</w:t>
            </w:r>
          </w:p>
          <w:p>
            <w:pPr>
              <w:snapToGrid w:val="0"/>
              <w:jc w:val="center"/>
              <w:rPr>
                <w:rFonts w:ascii="仿宋_GB2312" w:hAnsi="仿宋" w:eastAsia="仿宋_GB2312"/>
                <w:color w:val="auto"/>
                <w:sz w:val="24"/>
              </w:rPr>
            </w:pPr>
            <w:r>
              <w:rPr>
                <w:rFonts w:hint="eastAsia" w:ascii="仿宋_GB2312" w:hAnsi="仿宋" w:eastAsia="仿宋_GB2312"/>
                <w:color w:val="auto"/>
                <w:sz w:val="24"/>
              </w:rPr>
              <w:t>三坐标测量机</w:t>
            </w:r>
          </w:p>
          <w:p>
            <w:pPr>
              <w:snapToGrid w:val="0"/>
              <w:jc w:val="center"/>
              <w:rPr>
                <w:rFonts w:ascii="仿宋_GB2312" w:hAnsi="仿宋" w:eastAsia="仿宋_GB2312"/>
                <w:color w:val="auto"/>
                <w:sz w:val="24"/>
              </w:rPr>
            </w:pPr>
            <w:r>
              <w:rPr>
                <w:rFonts w:hint="eastAsia" w:ascii="仿宋_GB2312" w:hAnsi="仿宋" w:eastAsia="仿宋_GB2312"/>
                <w:color w:val="auto"/>
                <w:sz w:val="24"/>
                <w:lang w:val="en-US" w:eastAsia="zh-CN"/>
              </w:rPr>
              <w:t>CMM DuraMax</w:t>
            </w:r>
          </w:p>
        </w:tc>
        <w:tc>
          <w:tcPr>
            <w:tcW w:w="49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numPr>
                <w:ilvl w:val="0"/>
                <w:numId w:val="1"/>
              </w:numPr>
              <w:spacing w:line="360" w:lineRule="exact"/>
              <w:rPr>
                <w:rFonts w:ascii="仿宋_GB2312" w:hAnsi="楷体" w:eastAsia="仿宋_GB2312"/>
                <w:bCs/>
                <w:color w:val="auto"/>
                <w:sz w:val="24"/>
              </w:rPr>
            </w:pPr>
            <w:r>
              <w:rPr>
                <w:rFonts w:hint="eastAsia" w:ascii="仿宋_GB2312" w:hAnsi="楷体" w:eastAsia="仿宋_GB2312"/>
                <w:bCs/>
                <w:color w:val="auto"/>
                <w:sz w:val="24"/>
              </w:rPr>
              <w:t>测量行程：X轴</w:t>
            </w:r>
            <w:r>
              <w:rPr>
                <w:rFonts w:hint="eastAsia" w:ascii="仿宋_GB2312" w:hAnsi="楷体" w:eastAsia="仿宋_GB2312"/>
                <w:bCs/>
                <w:color w:val="auto"/>
                <w:sz w:val="24"/>
                <w:lang w:val="en-US" w:eastAsia="zh-CN"/>
              </w:rPr>
              <w:t>5</w:t>
            </w:r>
            <w:r>
              <w:rPr>
                <w:rFonts w:hint="eastAsia" w:ascii="仿宋_GB2312" w:hAnsi="楷体" w:eastAsia="仿宋_GB2312"/>
                <w:bCs/>
                <w:color w:val="auto"/>
                <w:sz w:val="24"/>
              </w:rPr>
              <w:t>00mm、Y轴</w:t>
            </w:r>
            <w:r>
              <w:rPr>
                <w:rFonts w:hint="eastAsia" w:ascii="仿宋_GB2312" w:hAnsi="楷体" w:eastAsia="仿宋_GB2312"/>
                <w:bCs/>
                <w:color w:val="auto"/>
                <w:sz w:val="24"/>
                <w:lang w:val="en-US" w:eastAsia="zh-CN"/>
              </w:rPr>
              <w:t>5</w:t>
            </w:r>
            <w:r>
              <w:rPr>
                <w:rFonts w:hint="eastAsia" w:ascii="仿宋_GB2312" w:hAnsi="楷体" w:eastAsia="仿宋_GB2312"/>
                <w:bCs/>
                <w:color w:val="auto"/>
                <w:sz w:val="24"/>
              </w:rPr>
              <w:t>00mm、Z轴</w:t>
            </w:r>
            <w:r>
              <w:rPr>
                <w:rFonts w:hint="eastAsia" w:ascii="仿宋_GB2312" w:hAnsi="楷体" w:eastAsia="仿宋_GB2312"/>
                <w:bCs/>
                <w:color w:val="auto"/>
                <w:sz w:val="24"/>
                <w:lang w:val="en-US" w:eastAsia="zh-CN"/>
              </w:rPr>
              <w:t>5</w:t>
            </w:r>
            <w:r>
              <w:rPr>
                <w:rFonts w:hint="eastAsia" w:ascii="仿宋_GB2312" w:hAnsi="楷体" w:eastAsia="仿宋_GB2312"/>
                <w:bCs/>
                <w:color w:val="auto"/>
                <w:sz w:val="24"/>
              </w:rPr>
              <w:t>00mm</w:t>
            </w:r>
          </w:p>
          <w:p>
            <w:pPr>
              <w:numPr>
                <w:ilvl w:val="0"/>
                <w:numId w:val="1"/>
              </w:numPr>
              <w:spacing w:line="360" w:lineRule="exact"/>
              <w:rPr>
                <w:rFonts w:ascii="仿宋_GB2312" w:hAnsi="楷体" w:eastAsia="仿宋_GB2312"/>
                <w:bCs/>
                <w:color w:val="auto"/>
                <w:sz w:val="24"/>
              </w:rPr>
            </w:pPr>
            <w:r>
              <w:rPr>
                <w:rFonts w:hint="eastAsia" w:ascii="仿宋_GB2312" w:hAnsi="楷体" w:eastAsia="仿宋_GB2312"/>
                <w:bCs/>
                <w:color w:val="auto"/>
                <w:sz w:val="24"/>
              </w:rPr>
              <w:t>示值误差MPEe</w:t>
            </w:r>
            <w:r>
              <w:rPr>
                <w:rFonts w:hint="eastAsia" w:ascii="仿宋_GB2312" w:hAnsi="楷体" w:eastAsia="仿宋_GB2312"/>
                <w:bCs/>
                <w:color w:val="auto"/>
                <w:sz w:val="24"/>
                <w:lang w:val="en-US" w:eastAsia="zh-CN"/>
              </w:rPr>
              <w:t xml:space="preserve"> 2.4</w:t>
            </w:r>
            <w:r>
              <w:rPr>
                <w:rFonts w:hint="eastAsia" w:ascii="仿宋_GB2312" w:hAnsi="楷体" w:eastAsia="仿宋_GB2312"/>
                <w:bCs/>
                <w:color w:val="auto"/>
                <w:sz w:val="24"/>
              </w:rPr>
              <w:t>+L/</w:t>
            </w:r>
            <w:r>
              <w:rPr>
                <w:rFonts w:hint="eastAsia" w:ascii="仿宋_GB2312" w:hAnsi="楷体" w:eastAsia="仿宋_GB2312"/>
                <w:bCs/>
                <w:color w:val="auto"/>
                <w:sz w:val="24"/>
                <w:lang w:val="en-US" w:eastAsia="zh-CN"/>
              </w:rPr>
              <w:t>3</w:t>
            </w:r>
            <w:r>
              <w:rPr>
                <w:rFonts w:hint="eastAsia" w:ascii="仿宋_GB2312" w:hAnsi="楷体" w:eastAsia="仿宋_GB2312"/>
                <w:bCs/>
                <w:color w:val="auto"/>
                <w:sz w:val="24"/>
              </w:rPr>
              <w:t>00um</w:t>
            </w:r>
          </w:p>
          <w:p>
            <w:pPr>
              <w:numPr>
                <w:ilvl w:val="0"/>
                <w:numId w:val="1"/>
              </w:numPr>
              <w:spacing w:line="360" w:lineRule="exact"/>
              <w:rPr>
                <w:rFonts w:ascii="仿宋_GB2312" w:hAnsi="楷体" w:eastAsia="仿宋_GB2312"/>
                <w:bCs/>
                <w:color w:val="auto"/>
                <w:sz w:val="24"/>
              </w:rPr>
            </w:pPr>
            <w:r>
              <w:rPr>
                <w:rFonts w:hint="eastAsia" w:ascii="仿宋_GB2312" w:hAnsi="楷体" w:eastAsia="仿宋_GB2312"/>
                <w:bCs/>
                <w:color w:val="auto"/>
                <w:sz w:val="24"/>
              </w:rPr>
              <w:t>探测误差MPEp</w:t>
            </w:r>
            <w:r>
              <w:rPr>
                <w:rFonts w:hint="eastAsia" w:ascii="仿宋_GB2312" w:hAnsi="楷体" w:eastAsia="仿宋_GB2312"/>
                <w:bCs/>
                <w:color w:val="auto"/>
                <w:sz w:val="24"/>
                <w:lang w:val="en-US" w:eastAsia="zh-CN"/>
              </w:rPr>
              <w:t xml:space="preserve"> 2.4</w:t>
            </w:r>
            <w:r>
              <w:rPr>
                <w:rFonts w:hint="eastAsia" w:ascii="仿宋_GB2312" w:hAnsi="楷体" w:eastAsia="仿宋_GB2312"/>
                <w:bCs/>
                <w:color w:val="auto"/>
                <w:sz w:val="24"/>
              </w:rPr>
              <w:t>um</w:t>
            </w:r>
          </w:p>
          <w:p>
            <w:pPr>
              <w:numPr>
                <w:ilvl w:val="0"/>
                <w:numId w:val="1"/>
              </w:numPr>
              <w:spacing w:line="360" w:lineRule="exact"/>
              <w:ind w:left="425" w:leftChars="0" w:hanging="425" w:firstLineChars="0"/>
              <w:rPr>
                <w:rFonts w:ascii="仿宋" w:hAnsi="仿宋" w:eastAsia="仿宋"/>
                <w:color w:val="auto"/>
                <w:sz w:val="24"/>
              </w:rPr>
            </w:pPr>
            <w:r>
              <w:rPr>
                <w:rFonts w:hint="eastAsia" w:ascii="仿宋_GB2312" w:hAnsi="楷体" w:eastAsia="仿宋_GB2312"/>
                <w:bCs/>
                <w:color w:val="auto"/>
                <w:sz w:val="24"/>
              </w:rPr>
              <w:t>最大被测工件质量</w:t>
            </w:r>
            <w:r>
              <w:rPr>
                <w:rFonts w:hint="eastAsia" w:ascii="仿宋_GB2312" w:hAnsi="楷体" w:eastAsia="仿宋_GB2312"/>
                <w:bCs/>
                <w:color w:val="auto"/>
                <w:sz w:val="24"/>
                <w:lang w:val="en-US" w:eastAsia="zh-CN"/>
              </w:rPr>
              <w:t>100</w:t>
            </w:r>
            <w:r>
              <w:rPr>
                <w:rFonts w:hint="eastAsia" w:ascii="仿宋_GB2312" w:hAnsi="楷体" w:eastAsia="仿宋_GB2312"/>
                <w:bCs/>
                <w:color w:val="auto"/>
                <w:sz w:val="24"/>
              </w:rPr>
              <w:t>kg</w:t>
            </w:r>
          </w:p>
        </w:tc>
        <w:tc>
          <w:tcPr>
            <w:tcW w:w="94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napToGrid w:val="0"/>
              <w:jc w:val="center"/>
              <w:rPr>
                <w:rFonts w:ascii="宋体"/>
                <w:color w:val="auto"/>
                <w:sz w:val="24"/>
              </w:rPr>
            </w:pPr>
            <w:r>
              <w:rPr>
                <w:rFonts w:hint="eastAsia" w:ascii="宋体"/>
                <w:color w:val="auto"/>
                <w:sz w:val="24"/>
                <w:lang w:val="en-US" w:eastAsia="zh-CN"/>
              </w:rPr>
              <w:t>1</w:t>
            </w:r>
            <w:r>
              <w:rPr>
                <w:rFonts w:hint="eastAsia" w:ascii="宋体"/>
                <w:color w:val="auto"/>
                <w:sz w:val="24"/>
              </w:rPr>
              <w:t>台</w:t>
            </w:r>
          </w:p>
        </w:tc>
      </w:tr>
      <w:tr>
        <w:tblPrEx>
          <w:tblLayout w:type="fixed"/>
          <w:tblCellMar>
            <w:top w:w="0" w:type="dxa"/>
            <w:left w:w="108" w:type="dxa"/>
            <w:bottom w:w="0" w:type="dxa"/>
            <w:right w:w="108" w:type="dxa"/>
          </w:tblCellMar>
        </w:tblPrEx>
        <w:trPr>
          <w:trHeight w:val="2643" w:hRule="atLeast"/>
          <w:jc w:val="center"/>
        </w:trPr>
        <w:tc>
          <w:tcPr>
            <w:tcW w:w="71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napToGrid w:val="0"/>
              <w:jc w:val="center"/>
              <w:rPr>
                <w:rFonts w:hint="eastAsia" w:ascii="仿宋_GB2312" w:hAnsi="华文中宋" w:eastAsia="仿宋_GB2312"/>
                <w:color w:val="auto"/>
                <w:sz w:val="24"/>
              </w:rPr>
            </w:pPr>
            <w:r>
              <w:rPr>
                <w:rFonts w:hint="eastAsia" w:ascii="仿宋_GB2312" w:hAnsi="华文中宋" w:eastAsia="仿宋_GB2312"/>
                <w:color w:val="auto"/>
                <w:sz w:val="24"/>
                <w:lang w:val="en-US" w:eastAsia="zh-CN"/>
              </w:rPr>
              <w:t>4</w:t>
            </w:r>
          </w:p>
        </w:tc>
        <w:tc>
          <w:tcPr>
            <w:tcW w:w="218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napToGrid w:val="0"/>
              <w:jc w:val="center"/>
              <w:rPr>
                <w:rFonts w:hint="eastAsia" w:ascii="仿宋_GB2312" w:hAnsi="仿宋" w:eastAsia="仿宋_GB2312"/>
                <w:color w:val="auto"/>
                <w:sz w:val="24"/>
                <w:lang w:eastAsia="zh-CN"/>
              </w:rPr>
            </w:pPr>
            <w:r>
              <w:rPr>
                <w:rFonts w:hint="eastAsia" w:ascii="仿宋_GB2312" w:hAnsi="仿宋" w:eastAsia="仿宋_GB2312"/>
                <w:color w:val="auto"/>
                <w:sz w:val="24"/>
                <w:lang w:val="en-US" w:eastAsia="zh-CN"/>
              </w:rPr>
              <w:t>ZEISS</w:t>
            </w:r>
          </w:p>
          <w:p>
            <w:pPr>
              <w:snapToGrid w:val="0"/>
              <w:jc w:val="center"/>
              <w:rPr>
                <w:rFonts w:ascii="仿宋_GB2312" w:hAnsi="仿宋" w:eastAsia="仿宋_GB2312"/>
                <w:color w:val="auto"/>
                <w:sz w:val="24"/>
              </w:rPr>
            </w:pPr>
            <w:r>
              <w:rPr>
                <w:rFonts w:hint="eastAsia" w:ascii="仿宋_GB2312" w:hAnsi="仿宋" w:eastAsia="仿宋_GB2312"/>
                <w:color w:val="auto"/>
                <w:sz w:val="24"/>
              </w:rPr>
              <w:t>三坐标测量机</w:t>
            </w:r>
          </w:p>
          <w:p>
            <w:pPr>
              <w:snapToGrid w:val="0"/>
              <w:jc w:val="center"/>
              <w:rPr>
                <w:rFonts w:ascii="仿宋_GB2312" w:hAnsi="仿宋" w:eastAsia="仿宋_GB2312"/>
                <w:color w:val="auto"/>
                <w:sz w:val="24"/>
              </w:rPr>
            </w:pPr>
            <w:r>
              <w:rPr>
                <w:rFonts w:hint="eastAsia" w:ascii="仿宋_GB2312" w:hAnsi="仿宋" w:eastAsia="仿宋_GB2312"/>
                <w:color w:val="auto"/>
                <w:sz w:val="24"/>
                <w:lang w:val="en-US" w:eastAsia="zh-CN"/>
              </w:rPr>
              <w:t>CMM SPECTRUM 7106</w:t>
            </w:r>
          </w:p>
        </w:tc>
        <w:tc>
          <w:tcPr>
            <w:tcW w:w="49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numPr>
                <w:ilvl w:val="0"/>
                <w:numId w:val="2"/>
              </w:numPr>
              <w:spacing w:line="360" w:lineRule="exact"/>
              <w:rPr>
                <w:rFonts w:ascii="仿宋_GB2312" w:hAnsi="楷体" w:eastAsia="仿宋_GB2312"/>
                <w:bCs/>
                <w:color w:val="auto"/>
                <w:sz w:val="24"/>
              </w:rPr>
            </w:pPr>
            <w:r>
              <w:rPr>
                <w:rFonts w:hint="eastAsia" w:ascii="仿宋_GB2312" w:hAnsi="楷体" w:eastAsia="仿宋_GB2312"/>
                <w:bCs/>
                <w:color w:val="auto"/>
                <w:sz w:val="24"/>
              </w:rPr>
              <w:t>测量行程：X轴</w:t>
            </w:r>
            <w:r>
              <w:rPr>
                <w:rFonts w:hint="eastAsia" w:ascii="仿宋_GB2312" w:hAnsi="楷体" w:eastAsia="仿宋_GB2312"/>
                <w:bCs/>
                <w:color w:val="auto"/>
                <w:sz w:val="24"/>
                <w:lang w:val="en-US" w:eastAsia="zh-CN"/>
              </w:rPr>
              <w:t>7</w:t>
            </w:r>
            <w:r>
              <w:rPr>
                <w:rFonts w:hint="eastAsia" w:ascii="仿宋_GB2312" w:hAnsi="楷体" w:eastAsia="仿宋_GB2312"/>
                <w:bCs/>
                <w:color w:val="auto"/>
                <w:sz w:val="24"/>
              </w:rPr>
              <w:t>00mm、Y轴</w:t>
            </w:r>
            <w:r>
              <w:rPr>
                <w:rFonts w:hint="eastAsia" w:ascii="仿宋_GB2312" w:hAnsi="楷体" w:eastAsia="仿宋_GB2312"/>
                <w:bCs/>
                <w:color w:val="auto"/>
                <w:sz w:val="24"/>
                <w:lang w:val="en-US" w:eastAsia="zh-CN"/>
              </w:rPr>
              <w:t>10</w:t>
            </w:r>
            <w:r>
              <w:rPr>
                <w:rFonts w:hint="eastAsia" w:ascii="仿宋_GB2312" w:hAnsi="楷体" w:eastAsia="仿宋_GB2312"/>
                <w:bCs/>
                <w:color w:val="auto"/>
                <w:sz w:val="24"/>
              </w:rPr>
              <w:t>00mm、Z轴</w:t>
            </w:r>
            <w:r>
              <w:rPr>
                <w:rFonts w:hint="eastAsia" w:ascii="仿宋_GB2312" w:hAnsi="楷体" w:eastAsia="仿宋_GB2312"/>
                <w:bCs/>
                <w:color w:val="auto"/>
                <w:sz w:val="24"/>
                <w:lang w:val="en-US" w:eastAsia="zh-CN"/>
              </w:rPr>
              <w:t>6</w:t>
            </w:r>
            <w:r>
              <w:rPr>
                <w:rFonts w:hint="eastAsia" w:ascii="仿宋_GB2312" w:hAnsi="楷体" w:eastAsia="仿宋_GB2312"/>
                <w:bCs/>
                <w:color w:val="auto"/>
                <w:sz w:val="24"/>
              </w:rPr>
              <w:t>00mm</w:t>
            </w:r>
          </w:p>
          <w:p>
            <w:pPr>
              <w:numPr>
                <w:ilvl w:val="0"/>
                <w:numId w:val="2"/>
              </w:numPr>
              <w:spacing w:line="360" w:lineRule="exact"/>
              <w:rPr>
                <w:rFonts w:ascii="仿宋_GB2312" w:hAnsi="楷体" w:eastAsia="仿宋_GB2312"/>
                <w:bCs/>
                <w:color w:val="auto"/>
                <w:sz w:val="24"/>
              </w:rPr>
            </w:pPr>
            <w:r>
              <w:rPr>
                <w:rFonts w:hint="eastAsia" w:ascii="仿宋_GB2312" w:hAnsi="楷体" w:eastAsia="仿宋_GB2312"/>
                <w:bCs/>
                <w:color w:val="auto"/>
                <w:sz w:val="24"/>
              </w:rPr>
              <w:t>示值误差MPEe</w:t>
            </w:r>
            <w:r>
              <w:rPr>
                <w:rFonts w:hint="eastAsia" w:ascii="仿宋_GB2312" w:hAnsi="楷体" w:eastAsia="仿宋_GB2312"/>
                <w:bCs/>
                <w:color w:val="auto"/>
                <w:sz w:val="24"/>
                <w:lang w:val="en-US" w:eastAsia="zh-CN"/>
              </w:rPr>
              <w:t xml:space="preserve"> </w:t>
            </w:r>
            <w:r>
              <w:rPr>
                <w:rFonts w:hint="eastAsia" w:ascii="仿宋_GB2312" w:hAnsi="楷体" w:eastAsia="仿宋_GB2312"/>
                <w:bCs/>
                <w:color w:val="auto"/>
                <w:sz w:val="24"/>
              </w:rPr>
              <w:t>1.9+L/</w:t>
            </w:r>
            <w:r>
              <w:rPr>
                <w:rFonts w:hint="eastAsia" w:ascii="仿宋_GB2312" w:hAnsi="楷体" w:eastAsia="仿宋_GB2312"/>
                <w:bCs/>
                <w:color w:val="auto"/>
                <w:sz w:val="24"/>
                <w:lang w:val="en-US" w:eastAsia="zh-CN"/>
              </w:rPr>
              <w:t>3</w:t>
            </w:r>
            <w:r>
              <w:rPr>
                <w:rFonts w:hint="eastAsia" w:ascii="仿宋_GB2312" w:hAnsi="楷体" w:eastAsia="仿宋_GB2312"/>
                <w:bCs/>
                <w:color w:val="auto"/>
                <w:sz w:val="24"/>
              </w:rPr>
              <w:t>00um</w:t>
            </w:r>
          </w:p>
          <w:p>
            <w:pPr>
              <w:numPr>
                <w:ilvl w:val="0"/>
                <w:numId w:val="2"/>
              </w:numPr>
              <w:spacing w:line="360" w:lineRule="exact"/>
              <w:rPr>
                <w:rFonts w:ascii="仿宋_GB2312" w:hAnsi="楷体" w:eastAsia="仿宋_GB2312"/>
                <w:bCs/>
                <w:color w:val="auto"/>
                <w:sz w:val="24"/>
              </w:rPr>
            </w:pPr>
            <w:r>
              <w:rPr>
                <w:rFonts w:hint="eastAsia" w:ascii="仿宋_GB2312" w:hAnsi="楷体" w:eastAsia="仿宋_GB2312"/>
                <w:bCs/>
                <w:color w:val="auto"/>
                <w:sz w:val="24"/>
              </w:rPr>
              <w:t>探测误差MPEp</w:t>
            </w:r>
            <w:r>
              <w:rPr>
                <w:rFonts w:hint="eastAsia" w:ascii="仿宋_GB2312" w:hAnsi="楷体" w:eastAsia="仿宋_GB2312"/>
                <w:bCs/>
                <w:color w:val="auto"/>
                <w:sz w:val="24"/>
                <w:lang w:val="en-US" w:eastAsia="zh-CN"/>
              </w:rPr>
              <w:t xml:space="preserve"> </w:t>
            </w:r>
            <w:r>
              <w:rPr>
                <w:rFonts w:hint="eastAsia" w:ascii="仿宋_GB2312" w:hAnsi="楷体" w:eastAsia="仿宋_GB2312"/>
                <w:bCs/>
                <w:color w:val="auto"/>
                <w:sz w:val="24"/>
              </w:rPr>
              <w:t>1.9um</w:t>
            </w:r>
          </w:p>
          <w:p>
            <w:pPr>
              <w:numPr>
                <w:ilvl w:val="0"/>
                <w:numId w:val="2"/>
              </w:numPr>
              <w:spacing w:line="360" w:lineRule="exact"/>
              <w:ind w:left="425" w:leftChars="0" w:hanging="425" w:firstLineChars="0"/>
              <w:rPr>
                <w:rFonts w:hint="eastAsia" w:ascii="仿宋_GB2312" w:hAnsi="楷体" w:eastAsia="仿宋_GB2312"/>
                <w:bCs/>
                <w:color w:val="auto"/>
                <w:sz w:val="24"/>
              </w:rPr>
            </w:pPr>
            <w:r>
              <w:rPr>
                <w:rFonts w:hint="eastAsia" w:ascii="仿宋_GB2312" w:hAnsi="楷体" w:eastAsia="仿宋_GB2312"/>
                <w:bCs/>
                <w:color w:val="auto"/>
                <w:sz w:val="24"/>
              </w:rPr>
              <w:t>最大被测工件质量</w:t>
            </w:r>
            <w:r>
              <w:rPr>
                <w:rFonts w:hint="eastAsia" w:ascii="仿宋_GB2312" w:hAnsi="楷体" w:eastAsia="仿宋_GB2312"/>
                <w:bCs/>
                <w:color w:val="auto"/>
                <w:sz w:val="24"/>
                <w:lang w:val="en-US" w:eastAsia="zh-CN"/>
              </w:rPr>
              <w:t>730</w:t>
            </w:r>
            <w:r>
              <w:rPr>
                <w:rFonts w:hint="eastAsia" w:ascii="仿宋_GB2312" w:hAnsi="楷体" w:eastAsia="仿宋_GB2312"/>
                <w:bCs/>
                <w:color w:val="auto"/>
                <w:sz w:val="24"/>
              </w:rPr>
              <w:t>kg</w:t>
            </w:r>
          </w:p>
        </w:tc>
        <w:tc>
          <w:tcPr>
            <w:tcW w:w="94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napToGrid w:val="0"/>
              <w:jc w:val="center"/>
              <w:rPr>
                <w:rFonts w:hint="eastAsia" w:ascii="宋体"/>
                <w:color w:val="auto"/>
                <w:sz w:val="24"/>
              </w:rPr>
            </w:pPr>
            <w:r>
              <w:rPr>
                <w:rFonts w:hint="eastAsia" w:ascii="宋体"/>
                <w:color w:val="auto"/>
                <w:sz w:val="24"/>
                <w:lang w:val="en-US" w:eastAsia="zh-CN"/>
              </w:rPr>
              <w:t>1台</w:t>
            </w:r>
          </w:p>
        </w:tc>
      </w:tr>
      <w:tr>
        <w:tblPrEx>
          <w:tblLayout w:type="fixed"/>
          <w:tblCellMar>
            <w:top w:w="0" w:type="dxa"/>
            <w:left w:w="108" w:type="dxa"/>
            <w:bottom w:w="0" w:type="dxa"/>
            <w:right w:w="108" w:type="dxa"/>
          </w:tblCellMar>
        </w:tblPrEx>
        <w:trPr>
          <w:trHeight w:val="3870" w:hRule="atLeast"/>
          <w:jc w:val="center"/>
        </w:trPr>
        <w:tc>
          <w:tcPr>
            <w:tcW w:w="71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napToGrid w:val="0"/>
              <w:jc w:val="center"/>
              <w:rPr>
                <w:rFonts w:ascii="仿宋_GB2312" w:hAnsi="华文中宋" w:eastAsia="仿宋_GB2312"/>
                <w:color w:val="auto"/>
                <w:sz w:val="24"/>
              </w:rPr>
            </w:pPr>
            <w:r>
              <w:rPr>
                <w:rFonts w:hint="eastAsia" w:ascii="仿宋_GB2312" w:hAnsi="华文中宋" w:eastAsia="仿宋_GB2312"/>
                <w:color w:val="auto"/>
                <w:sz w:val="24"/>
                <w:lang w:val="en-US" w:eastAsia="zh-CN"/>
              </w:rPr>
              <w:t>5</w:t>
            </w:r>
          </w:p>
        </w:tc>
        <w:tc>
          <w:tcPr>
            <w:tcW w:w="218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napToGrid w:val="0"/>
              <w:jc w:val="center"/>
              <w:rPr>
                <w:rFonts w:hint="eastAsia" w:ascii="仿宋_GB2312" w:hAnsi="仿宋" w:eastAsia="仿宋_GB2312"/>
                <w:color w:val="auto"/>
                <w:sz w:val="24"/>
                <w:lang w:val="en-US" w:eastAsia="zh-CN"/>
              </w:rPr>
            </w:pPr>
            <w:r>
              <w:rPr>
                <w:rFonts w:hint="eastAsia" w:ascii="仿宋_GB2312" w:hAnsi="仿宋" w:eastAsia="仿宋_GB2312"/>
                <w:color w:val="auto"/>
                <w:sz w:val="24"/>
                <w:lang w:val="en-US" w:eastAsia="zh-CN"/>
              </w:rPr>
              <w:t>ZEISS</w:t>
            </w:r>
          </w:p>
          <w:p>
            <w:pPr>
              <w:snapToGrid w:val="0"/>
              <w:jc w:val="center"/>
              <w:rPr>
                <w:rFonts w:ascii="仿宋_GB2312" w:hAnsi="仿宋" w:eastAsia="仿宋_GB2312"/>
                <w:color w:val="auto"/>
                <w:sz w:val="24"/>
              </w:rPr>
            </w:pPr>
            <w:r>
              <w:rPr>
                <w:rFonts w:hint="eastAsia" w:ascii="仿宋_GB2312" w:hAnsi="仿宋" w:eastAsia="仿宋_GB2312"/>
                <w:color w:val="auto"/>
                <w:sz w:val="24"/>
              </w:rPr>
              <w:t>蓝光检测仪</w:t>
            </w:r>
          </w:p>
          <w:p>
            <w:pPr>
              <w:snapToGrid w:val="0"/>
              <w:jc w:val="center"/>
              <w:rPr>
                <w:rFonts w:ascii="仿宋_GB2312" w:hAnsi="仿宋" w:eastAsia="仿宋_GB2312"/>
                <w:color w:val="auto"/>
                <w:sz w:val="24"/>
              </w:rPr>
            </w:pPr>
            <w:r>
              <w:rPr>
                <w:rFonts w:hint="eastAsia" w:ascii="仿宋_GB2312" w:hAnsi="仿宋" w:eastAsia="仿宋_GB2312"/>
                <w:color w:val="auto"/>
                <w:sz w:val="24"/>
                <w:lang w:val="en-US" w:eastAsia="zh-CN"/>
              </w:rPr>
              <w:t>COMET L3D</w:t>
            </w:r>
          </w:p>
        </w:tc>
        <w:tc>
          <w:tcPr>
            <w:tcW w:w="49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numPr>
                <w:ilvl w:val="0"/>
                <w:numId w:val="3"/>
              </w:numPr>
              <w:ind w:left="0" w:firstLine="0"/>
              <w:rPr>
                <w:rFonts w:ascii="仿宋_GB2312" w:hAnsi="楷体" w:eastAsia="仿宋_GB2312"/>
                <w:bCs/>
                <w:color w:val="auto"/>
                <w:sz w:val="24"/>
              </w:rPr>
            </w:pPr>
            <w:r>
              <w:rPr>
                <w:rFonts w:hint="eastAsia" w:ascii="仿宋_GB2312" w:hAnsi="楷体" w:eastAsia="仿宋_GB2312"/>
                <w:bCs/>
                <w:color w:val="auto"/>
                <w:sz w:val="24"/>
              </w:rPr>
              <w:t>分辨率</w:t>
            </w:r>
            <w:r>
              <w:rPr>
                <w:rFonts w:hint="eastAsia" w:ascii="仿宋_GB2312" w:hAnsi="楷体" w:eastAsia="仿宋_GB2312"/>
                <w:bCs/>
                <w:color w:val="auto"/>
                <w:sz w:val="24"/>
                <w:lang w:val="en-US" w:eastAsia="zh-CN"/>
              </w:rPr>
              <w:t>2448*2050</w:t>
            </w:r>
          </w:p>
          <w:p>
            <w:pPr>
              <w:numPr>
                <w:ilvl w:val="0"/>
                <w:numId w:val="3"/>
              </w:numPr>
              <w:ind w:left="0" w:firstLine="0"/>
              <w:rPr>
                <w:rFonts w:ascii="仿宋_GB2312" w:hAnsi="楷体" w:eastAsia="仿宋_GB2312"/>
                <w:bCs/>
                <w:color w:val="auto"/>
                <w:sz w:val="24"/>
              </w:rPr>
            </w:pPr>
            <w:r>
              <w:rPr>
                <w:rFonts w:hint="eastAsia" w:ascii="仿宋_GB2312" w:hAnsi="楷体" w:eastAsia="仿宋_GB2312"/>
                <w:bCs/>
                <w:color w:val="auto"/>
                <w:sz w:val="24"/>
                <w:lang w:eastAsia="zh-CN"/>
              </w:rPr>
              <w:t>最快测量时间约</w:t>
            </w:r>
            <w:r>
              <w:rPr>
                <w:rFonts w:hint="eastAsia" w:ascii="仿宋_GB2312" w:hAnsi="楷体" w:eastAsia="仿宋_GB2312"/>
                <w:bCs/>
                <w:color w:val="auto"/>
                <w:sz w:val="24"/>
                <w:lang w:val="en-US" w:eastAsia="zh-CN"/>
              </w:rPr>
              <w:t>2s</w:t>
            </w:r>
          </w:p>
          <w:p>
            <w:pPr>
              <w:numPr>
                <w:ilvl w:val="0"/>
                <w:numId w:val="3"/>
              </w:numPr>
              <w:ind w:left="0" w:firstLine="0"/>
              <w:rPr>
                <w:rFonts w:ascii="仿宋" w:hAnsi="仿宋" w:eastAsia="仿宋"/>
                <w:color w:val="auto"/>
                <w:sz w:val="24"/>
              </w:rPr>
            </w:pPr>
            <w:r>
              <w:rPr>
                <w:rFonts w:hint="eastAsia" w:ascii="仿宋_GB2312" w:hAnsi="楷体" w:eastAsia="仿宋_GB2312"/>
                <w:bCs/>
                <w:color w:val="auto"/>
                <w:sz w:val="24"/>
                <w:lang w:eastAsia="zh-CN"/>
              </w:rPr>
              <w:t>工作距离：</w:t>
            </w:r>
            <w:r>
              <w:rPr>
                <w:rFonts w:hint="eastAsia" w:ascii="仿宋_GB2312" w:hAnsi="楷体" w:eastAsia="仿宋_GB2312"/>
                <w:bCs/>
                <w:color w:val="auto"/>
                <w:sz w:val="24"/>
                <w:lang w:val="en-US" w:eastAsia="zh-CN"/>
              </w:rPr>
              <w:t>760测量场100/250</w:t>
            </w:r>
          </w:p>
          <w:p>
            <w:pPr>
              <w:numPr>
                <w:ilvl w:val="0"/>
                <w:numId w:val="3"/>
              </w:numPr>
              <w:ind w:left="0" w:leftChars="0" w:firstLine="0" w:firstLineChars="0"/>
              <w:rPr>
                <w:rFonts w:ascii="仿宋" w:hAnsi="仿宋" w:eastAsia="仿宋"/>
                <w:color w:val="auto"/>
                <w:sz w:val="24"/>
              </w:rPr>
            </w:pPr>
            <w:r>
              <w:rPr>
                <w:rFonts w:hint="eastAsia" w:ascii="仿宋" w:hAnsi="仿宋" w:eastAsia="仿宋"/>
                <w:color w:val="auto"/>
                <w:sz w:val="24"/>
                <w:lang w:eastAsia="zh-CN"/>
              </w:rPr>
              <w:t>测量支撑：</w:t>
            </w:r>
            <w:r>
              <w:rPr>
                <w:rFonts w:hint="eastAsia" w:ascii="仿宋_GB2312" w:hAnsi="楷体" w:eastAsia="仿宋_GB2312"/>
                <w:bCs/>
                <w:color w:val="auto"/>
                <w:sz w:val="24"/>
                <w:lang w:eastAsia="zh-CN"/>
              </w:rPr>
              <w:t>具备手动旋转/倾斜轴的三脚 架或立柱式支架</w:t>
            </w:r>
          </w:p>
        </w:tc>
        <w:tc>
          <w:tcPr>
            <w:tcW w:w="94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napToGrid w:val="0"/>
              <w:jc w:val="center"/>
              <w:rPr>
                <w:rFonts w:ascii="宋体"/>
                <w:color w:val="auto"/>
                <w:sz w:val="24"/>
              </w:rPr>
            </w:pPr>
            <w:r>
              <w:rPr>
                <w:rFonts w:hint="eastAsia" w:ascii="宋体"/>
                <w:color w:val="auto"/>
                <w:sz w:val="24"/>
                <w:lang w:val="en-US" w:eastAsia="zh-CN"/>
              </w:rPr>
              <w:t>2</w:t>
            </w:r>
            <w:r>
              <w:rPr>
                <w:rFonts w:hint="eastAsia" w:ascii="宋体"/>
                <w:color w:val="auto"/>
                <w:sz w:val="24"/>
              </w:rPr>
              <w:t>台</w:t>
            </w:r>
          </w:p>
        </w:tc>
      </w:tr>
      <w:tr>
        <w:tblPrEx>
          <w:tblLayout w:type="fixed"/>
          <w:tblCellMar>
            <w:top w:w="0" w:type="dxa"/>
            <w:left w:w="108" w:type="dxa"/>
            <w:bottom w:w="0" w:type="dxa"/>
            <w:right w:w="108" w:type="dxa"/>
          </w:tblCellMar>
        </w:tblPrEx>
        <w:trPr>
          <w:trHeight w:val="3016" w:hRule="atLeast"/>
          <w:jc w:val="center"/>
        </w:trPr>
        <w:tc>
          <w:tcPr>
            <w:tcW w:w="71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napToGrid w:val="0"/>
              <w:jc w:val="center"/>
              <w:rPr>
                <w:rFonts w:ascii="仿宋_GB2312" w:hAnsi="华文中宋" w:eastAsia="仿宋_GB2312"/>
                <w:color w:val="auto"/>
                <w:sz w:val="24"/>
              </w:rPr>
            </w:pPr>
            <w:r>
              <w:rPr>
                <w:rFonts w:hint="eastAsia" w:ascii="仿宋_GB2312" w:hAnsi="华文中宋" w:eastAsia="仿宋_GB2312"/>
                <w:color w:val="auto"/>
                <w:sz w:val="24"/>
                <w:lang w:val="en-US" w:eastAsia="zh-CN"/>
              </w:rPr>
              <w:t>6</w:t>
            </w:r>
          </w:p>
        </w:tc>
        <w:tc>
          <w:tcPr>
            <w:tcW w:w="218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napToGrid w:val="0"/>
              <w:jc w:val="center"/>
              <w:rPr>
                <w:rFonts w:hint="eastAsia" w:ascii="仿宋_GB2312" w:hAnsi="仿宋" w:eastAsia="仿宋_GB2312"/>
                <w:color w:val="auto"/>
                <w:sz w:val="24"/>
                <w:lang w:eastAsia="zh-CN"/>
              </w:rPr>
            </w:pPr>
            <w:r>
              <w:rPr>
                <w:rFonts w:hint="eastAsia" w:ascii="仿宋_GB2312" w:hAnsi="仿宋" w:eastAsia="仿宋_GB2312"/>
                <w:color w:val="auto"/>
                <w:sz w:val="24"/>
                <w:lang w:eastAsia="zh-CN"/>
              </w:rPr>
              <w:t>英示</w:t>
            </w:r>
          </w:p>
          <w:p>
            <w:pPr>
              <w:snapToGrid w:val="0"/>
              <w:jc w:val="center"/>
              <w:rPr>
                <w:rFonts w:hint="eastAsia" w:ascii="仿宋_GB2312" w:hAnsi="仿宋" w:eastAsia="仿宋_GB2312"/>
                <w:color w:val="auto"/>
                <w:sz w:val="24"/>
              </w:rPr>
            </w:pPr>
            <w:r>
              <w:rPr>
                <w:rFonts w:hint="eastAsia" w:ascii="仿宋_GB2312" w:hAnsi="仿宋" w:eastAsia="仿宋_GB2312"/>
                <w:color w:val="auto"/>
                <w:sz w:val="24"/>
              </w:rPr>
              <w:t>粗糙度仪</w:t>
            </w:r>
          </w:p>
          <w:p>
            <w:pPr>
              <w:snapToGrid w:val="0"/>
              <w:jc w:val="center"/>
              <w:rPr>
                <w:rFonts w:hint="eastAsia" w:ascii="仿宋_GB2312" w:hAnsi="仿宋" w:eastAsia="仿宋_GB2312"/>
                <w:color w:val="auto"/>
                <w:sz w:val="24"/>
              </w:rPr>
            </w:pPr>
            <w:r>
              <w:rPr>
                <w:rFonts w:hint="eastAsia" w:ascii="仿宋_GB2312" w:hAnsi="仿宋" w:eastAsia="仿宋_GB2312"/>
                <w:b w:val="0"/>
                <w:bCs w:val="0"/>
                <w:color w:val="auto"/>
                <w:sz w:val="24"/>
                <w:szCs w:val="24"/>
                <w:lang w:val="en-US" w:eastAsia="zh-CN"/>
              </w:rPr>
              <w:t>ISR-S1000B</w:t>
            </w:r>
          </w:p>
          <w:p>
            <w:pPr>
              <w:snapToGrid w:val="0"/>
              <w:jc w:val="center"/>
              <w:rPr>
                <w:rFonts w:ascii="仿宋_GB2312" w:hAnsi="仿宋" w:eastAsia="仿宋_GB2312"/>
                <w:color w:val="auto"/>
                <w:sz w:val="24"/>
              </w:rPr>
            </w:pPr>
          </w:p>
        </w:tc>
        <w:tc>
          <w:tcPr>
            <w:tcW w:w="49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numPr>
                <w:ilvl w:val="0"/>
                <w:numId w:val="4"/>
              </w:numPr>
              <w:snapToGrid w:val="0"/>
              <w:rPr>
                <w:rFonts w:ascii="仿宋_GB2312" w:hAnsi="楷体" w:eastAsia="仿宋_GB2312"/>
                <w:bCs/>
                <w:color w:val="auto"/>
                <w:sz w:val="24"/>
              </w:rPr>
            </w:pPr>
            <w:r>
              <w:rPr>
                <w:rFonts w:hint="eastAsia" w:ascii="仿宋" w:hAnsi="仿宋" w:eastAsia="仿宋"/>
                <w:color w:val="auto"/>
                <w:sz w:val="24"/>
              </w:rPr>
              <w:t>测量范围：1000</w:t>
            </w:r>
            <w:r>
              <w:rPr>
                <w:rFonts w:eastAsia="仿宋_GB2312" w:cs="Calibri"/>
                <w:bCs/>
                <w:color w:val="auto"/>
                <w:sz w:val="24"/>
              </w:rPr>
              <w:t>µ</w:t>
            </w:r>
            <w:r>
              <w:rPr>
                <w:rFonts w:hint="eastAsia" w:ascii="仿宋_GB2312" w:hAnsi="楷体" w:eastAsia="仿宋_GB2312"/>
                <w:bCs/>
                <w:color w:val="auto"/>
                <w:sz w:val="24"/>
              </w:rPr>
              <w:t>m</w:t>
            </w:r>
          </w:p>
          <w:p>
            <w:pPr>
              <w:numPr>
                <w:ilvl w:val="0"/>
                <w:numId w:val="4"/>
              </w:numPr>
              <w:snapToGrid w:val="0"/>
              <w:rPr>
                <w:rFonts w:ascii="仿宋_GB2312" w:hAnsi="楷体" w:eastAsia="仿宋_GB2312"/>
                <w:bCs/>
                <w:color w:val="auto"/>
                <w:sz w:val="24"/>
              </w:rPr>
            </w:pPr>
            <w:r>
              <w:rPr>
                <w:rFonts w:hint="eastAsia" w:ascii="仿宋_GB2312" w:hAnsi="楷体" w:eastAsia="仿宋_GB2312"/>
                <w:bCs/>
                <w:color w:val="auto"/>
                <w:sz w:val="24"/>
              </w:rPr>
              <w:t>测量精度：±3%</w:t>
            </w:r>
          </w:p>
          <w:p>
            <w:pPr>
              <w:numPr>
                <w:ilvl w:val="0"/>
                <w:numId w:val="4"/>
              </w:numPr>
              <w:snapToGrid w:val="0"/>
              <w:rPr>
                <w:rFonts w:ascii="仿宋_GB2312" w:hAnsi="楷体" w:eastAsia="仿宋_GB2312"/>
                <w:bCs/>
                <w:color w:val="auto"/>
                <w:sz w:val="24"/>
              </w:rPr>
            </w:pPr>
            <w:r>
              <w:rPr>
                <w:rFonts w:hint="eastAsia" w:ascii="仿宋_GB2312" w:hAnsi="楷体" w:eastAsia="仿宋_GB2312"/>
                <w:bCs/>
                <w:color w:val="auto"/>
                <w:sz w:val="24"/>
              </w:rPr>
              <w:t>分辨率0.001</w:t>
            </w:r>
            <w:r>
              <w:rPr>
                <w:rFonts w:eastAsia="仿宋_GB2312" w:cs="Calibri"/>
                <w:bCs/>
                <w:color w:val="auto"/>
                <w:sz w:val="24"/>
              </w:rPr>
              <w:t>µ</w:t>
            </w:r>
            <w:r>
              <w:rPr>
                <w:rFonts w:hint="eastAsia" w:ascii="仿宋_GB2312" w:hAnsi="楷体" w:eastAsia="仿宋_GB2312"/>
                <w:bCs/>
                <w:color w:val="auto"/>
                <w:sz w:val="24"/>
              </w:rPr>
              <w:t>m</w:t>
            </w:r>
          </w:p>
          <w:p>
            <w:pPr>
              <w:numPr>
                <w:ilvl w:val="0"/>
                <w:numId w:val="4"/>
              </w:numPr>
              <w:snapToGrid w:val="0"/>
              <w:rPr>
                <w:rFonts w:ascii="仿宋_GB2312" w:hAnsi="楷体" w:eastAsia="仿宋_GB2312"/>
                <w:bCs/>
                <w:color w:val="auto"/>
                <w:sz w:val="24"/>
              </w:rPr>
            </w:pPr>
            <w:r>
              <w:rPr>
                <w:rFonts w:hint="eastAsia" w:ascii="仿宋_GB2312" w:hAnsi="楷体" w:eastAsia="仿宋_GB2312"/>
                <w:bCs/>
                <w:color w:val="auto"/>
                <w:sz w:val="24"/>
              </w:rPr>
              <w:t>测头类型：电感式</w:t>
            </w:r>
          </w:p>
          <w:p>
            <w:pPr>
              <w:numPr>
                <w:ilvl w:val="0"/>
                <w:numId w:val="4"/>
              </w:numPr>
              <w:snapToGrid w:val="0"/>
              <w:rPr>
                <w:rFonts w:ascii="仿宋_GB2312" w:hAnsi="楷体" w:eastAsia="仿宋_GB2312"/>
                <w:bCs/>
                <w:color w:val="auto"/>
                <w:sz w:val="24"/>
              </w:rPr>
            </w:pPr>
            <w:r>
              <w:rPr>
                <w:rFonts w:hint="eastAsia" w:ascii="仿宋_GB2312" w:hAnsi="楷体" w:eastAsia="仿宋_GB2312"/>
                <w:bCs/>
                <w:color w:val="auto"/>
                <w:sz w:val="24"/>
              </w:rPr>
              <w:t>测量力：0.75mN</w:t>
            </w:r>
          </w:p>
          <w:p>
            <w:pPr>
              <w:numPr>
                <w:ilvl w:val="0"/>
                <w:numId w:val="4"/>
              </w:numPr>
              <w:snapToGrid w:val="0"/>
              <w:rPr>
                <w:rFonts w:ascii="仿宋_GB2312" w:hAnsi="楷体" w:eastAsia="仿宋_GB2312"/>
                <w:bCs/>
                <w:color w:val="auto"/>
                <w:sz w:val="24"/>
              </w:rPr>
            </w:pPr>
            <w:r>
              <w:rPr>
                <w:rFonts w:hint="eastAsia" w:ascii="仿宋_GB2312" w:hAnsi="楷体" w:eastAsia="仿宋_GB2312"/>
                <w:bCs/>
                <w:color w:val="auto"/>
                <w:sz w:val="24"/>
              </w:rPr>
              <w:t>测头移动速度：0.5mm/s或1mm/s</w:t>
            </w:r>
          </w:p>
          <w:p>
            <w:pPr>
              <w:numPr>
                <w:ilvl w:val="0"/>
                <w:numId w:val="4"/>
              </w:numPr>
              <w:snapToGrid w:val="0"/>
              <w:rPr>
                <w:rFonts w:ascii="仿宋_GB2312" w:hAnsi="楷体" w:eastAsia="仿宋_GB2312"/>
                <w:bCs/>
                <w:color w:val="auto"/>
                <w:sz w:val="24"/>
              </w:rPr>
            </w:pPr>
            <w:r>
              <w:rPr>
                <w:rFonts w:hint="eastAsia" w:ascii="仿宋_GB2312" w:hAnsi="楷体" w:eastAsia="仿宋_GB2312"/>
                <w:bCs/>
                <w:color w:val="auto"/>
                <w:sz w:val="24"/>
              </w:rPr>
              <w:t>内存：1000组数据</w:t>
            </w:r>
          </w:p>
          <w:p>
            <w:pPr>
              <w:numPr>
                <w:ilvl w:val="0"/>
                <w:numId w:val="4"/>
              </w:numPr>
              <w:snapToGrid w:val="0"/>
              <w:rPr>
                <w:rFonts w:ascii="仿宋_GB2312" w:hAnsi="楷体" w:eastAsia="仿宋_GB2312"/>
                <w:bCs/>
                <w:color w:val="auto"/>
                <w:sz w:val="24"/>
              </w:rPr>
            </w:pPr>
            <w:r>
              <w:rPr>
                <w:rFonts w:hint="eastAsia" w:ascii="仿宋_GB2312" w:hAnsi="楷体" w:eastAsia="仿宋_GB2312"/>
                <w:bCs/>
                <w:color w:val="auto"/>
                <w:sz w:val="24"/>
              </w:rPr>
              <w:t>输出：USB</w:t>
            </w:r>
          </w:p>
          <w:p>
            <w:pPr>
              <w:numPr>
                <w:ilvl w:val="0"/>
                <w:numId w:val="4"/>
              </w:numPr>
              <w:snapToGrid w:val="0"/>
              <w:ind w:left="425" w:leftChars="0" w:hanging="425" w:firstLineChars="0"/>
              <w:rPr>
                <w:rFonts w:ascii="仿宋_GB2312" w:hAnsi="楷体" w:eastAsia="仿宋_GB2312"/>
                <w:bCs/>
                <w:color w:val="auto"/>
                <w:sz w:val="24"/>
              </w:rPr>
            </w:pPr>
            <w:r>
              <w:rPr>
                <w:rFonts w:hint="eastAsia" w:ascii="仿宋_GB2312" w:hAnsi="楷体" w:eastAsia="仿宋_GB2312"/>
                <w:bCs/>
                <w:color w:val="auto"/>
                <w:sz w:val="24"/>
              </w:rPr>
              <w:t>尺寸：320*210*80mm</w:t>
            </w:r>
          </w:p>
        </w:tc>
        <w:tc>
          <w:tcPr>
            <w:tcW w:w="94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napToGrid w:val="0"/>
              <w:jc w:val="center"/>
              <w:rPr>
                <w:rFonts w:ascii="宋体"/>
                <w:color w:val="auto"/>
                <w:sz w:val="24"/>
              </w:rPr>
            </w:pPr>
            <w:r>
              <w:rPr>
                <w:rFonts w:hint="eastAsia" w:ascii="宋体"/>
                <w:color w:val="auto"/>
                <w:sz w:val="24"/>
              </w:rPr>
              <w:t>2台</w:t>
            </w:r>
          </w:p>
        </w:tc>
      </w:tr>
      <w:tr>
        <w:tblPrEx>
          <w:tblLayout w:type="fixed"/>
          <w:tblCellMar>
            <w:top w:w="0" w:type="dxa"/>
            <w:left w:w="108" w:type="dxa"/>
            <w:bottom w:w="0" w:type="dxa"/>
            <w:right w:w="108" w:type="dxa"/>
          </w:tblCellMar>
        </w:tblPrEx>
        <w:trPr>
          <w:trHeight w:val="921" w:hRule="atLeast"/>
          <w:jc w:val="center"/>
        </w:trPr>
        <w:tc>
          <w:tcPr>
            <w:tcW w:w="71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napToGrid w:val="0"/>
              <w:jc w:val="center"/>
              <w:rPr>
                <w:rFonts w:ascii="仿宋_GB2312" w:hAnsi="华文中宋" w:eastAsia="仿宋_GB2312"/>
                <w:sz w:val="24"/>
              </w:rPr>
            </w:pPr>
            <w:r>
              <w:rPr>
                <w:rFonts w:hint="eastAsia" w:ascii="仿宋_GB2312" w:hAnsi="华文中宋" w:eastAsia="仿宋_GB2312"/>
                <w:sz w:val="24"/>
              </w:rPr>
              <w:t>6</w:t>
            </w:r>
          </w:p>
        </w:tc>
        <w:tc>
          <w:tcPr>
            <w:tcW w:w="218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napToGrid w:val="0"/>
              <w:jc w:val="center"/>
              <w:rPr>
                <w:rFonts w:ascii="仿宋_GB2312" w:hAnsi="仿宋" w:eastAsia="仿宋_GB2312"/>
                <w:sz w:val="24"/>
              </w:rPr>
            </w:pPr>
            <w:r>
              <w:rPr>
                <w:rFonts w:hint="eastAsia" w:ascii="仿宋_GB2312" w:hAnsi="仿宋" w:eastAsia="仿宋_GB2312"/>
                <w:sz w:val="24"/>
              </w:rPr>
              <w:t>工作台</w:t>
            </w:r>
          </w:p>
        </w:tc>
        <w:tc>
          <w:tcPr>
            <w:tcW w:w="49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napToGrid w:val="0"/>
              <w:rPr>
                <w:rFonts w:ascii="仿宋_GB2312" w:hAnsi="仿宋" w:eastAsia="仿宋_GB2312"/>
                <w:sz w:val="24"/>
              </w:rPr>
            </w:pPr>
            <w:r>
              <w:rPr>
                <w:rFonts w:hint="eastAsia" w:ascii="仿宋_GB2312" w:hAnsi="仿宋" w:eastAsia="仿宋_GB2312"/>
                <w:sz w:val="24"/>
              </w:rPr>
              <w:t>配备零点快换、三爪卡盘、数控加工用刀架、换刀工具、锁刀座、换刀工作台等</w:t>
            </w:r>
          </w:p>
        </w:tc>
        <w:tc>
          <w:tcPr>
            <w:tcW w:w="94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napToGrid w:val="0"/>
              <w:jc w:val="center"/>
              <w:rPr>
                <w:rFonts w:ascii="仿宋_GB2312" w:hAnsi="仿宋" w:eastAsia="仿宋_GB2312"/>
                <w:sz w:val="24"/>
              </w:rPr>
            </w:pPr>
          </w:p>
        </w:tc>
      </w:tr>
      <w:tr>
        <w:tblPrEx>
          <w:tblLayout w:type="fixed"/>
          <w:tblCellMar>
            <w:top w:w="0" w:type="dxa"/>
            <w:left w:w="108" w:type="dxa"/>
            <w:bottom w:w="0" w:type="dxa"/>
            <w:right w:w="108" w:type="dxa"/>
          </w:tblCellMar>
        </w:tblPrEx>
        <w:trPr>
          <w:trHeight w:val="892" w:hRule="atLeast"/>
          <w:jc w:val="center"/>
        </w:trPr>
        <w:tc>
          <w:tcPr>
            <w:tcW w:w="71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napToGrid w:val="0"/>
              <w:jc w:val="center"/>
              <w:rPr>
                <w:rFonts w:ascii="仿宋_GB2312" w:hAnsi="仿宋_GB2312" w:eastAsia="仿宋_GB2312"/>
                <w:sz w:val="24"/>
              </w:rPr>
            </w:pPr>
            <w:r>
              <w:rPr>
                <w:rFonts w:hint="eastAsia" w:ascii="仿宋_GB2312" w:hAnsi="仿宋_GB2312" w:eastAsia="仿宋_GB2312"/>
                <w:sz w:val="24"/>
              </w:rPr>
              <w:t>7</w:t>
            </w:r>
          </w:p>
        </w:tc>
        <w:tc>
          <w:tcPr>
            <w:tcW w:w="218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napToGrid w:val="0"/>
              <w:jc w:val="center"/>
              <w:rPr>
                <w:rFonts w:ascii="仿宋_GB2312" w:hAnsi="仿宋_GB2312" w:eastAsia="仿宋_GB2312"/>
                <w:sz w:val="24"/>
              </w:rPr>
            </w:pPr>
            <w:r>
              <w:rPr>
                <w:rFonts w:hint="eastAsia" w:ascii="仿宋_GB2312" w:hAnsi="仿宋_GB2312" w:eastAsia="仿宋_GB2312"/>
                <w:sz w:val="24"/>
              </w:rPr>
              <w:t>工量刃具</w:t>
            </w:r>
          </w:p>
        </w:tc>
        <w:tc>
          <w:tcPr>
            <w:tcW w:w="49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napToGrid w:val="0"/>
              <w:rPr>
                <w:rFonts w:ascii="仿宋_GB2312" w:hAnsi="仿宋_GB2312" w:eastAsia="仿宋_GB2312"/>
                <w:sz w:val="24"/>
              </w:rPr>
            </w:pPr>
            <w:r>
              <w:rPr>
                <w:rFonts w:hint="eastAsia" w:ascii="仿宋_GB2312" w:hAnsi="仿宋_GB2312" w:eastAsia="仿宋_GB2312"/>
                <w:sz w:val="24"/>
              </w:rPr>
              <w:t>数控加工刀具、刀柄、量具若干（具体清单随样题公布）</w:t>
            </w:r>
          </w:p>
        </w:tc>
        <w:tc>
          <w:tcPr>
            <w:tcW w:w="94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napToGrid w:val="0"/>
              <w:jc w:val="center"/>
              <w:rPr>
                <w:rFonts w:ascii="仿宋_GB2312" w:hAnsi="仿宋_GB2312" w:eastAsia="仿宋_GB2312"/>
                <w:sz w:val="24"/>
              </w:rPr>
            </w:pPr>
          </w:p>
        </w:tc>
      </w:tr>
    </w:tbl>
    <w:p>
      <w:pPr>
        <w:pStyle w:val="3"/>
        <w:widowControl/>
        <w:spacing w:line="560" w:lineRule="exact"/>
        <w:ind w:firstLine="600"/>
        <w:jc w:val="left"/>
      </w:pPr>
      <w:r>
        <w:rPr>
          <w:rFonts w:hint="eastAsia"/>
        </w:rPr>
        <w:t>（二）赛位主要专业软件清单</w:t>
      </w:r>
    </w:p>
    <w:tbl>
      <w:tblPr>
        <w:tblStyle w:val="9"/>
        <w:tblW w:w="8752" w:type="dxa"/>
        <w:jc w:val="center"/>
        <w:tblInd w:w="0" w:type="dxa"/>
        <w:tblLayout w:type="fixed"/>
        <w:tblCellMar>
          <w:top w:w="0" w:type="dxa"/>
          <w:left w:w="108" w:type="dxa"/>
          <w:bottom w:w="0" w:type="dxa"/>
          <w:right w:w="108" w:type="dxa"/>
        </w:tblCellMar>
      </w:tblPr>
      <w:tblGrid>
        <w:gridCol w:w="797"/>
        <w:gridCol w:w="7955"/>
      </w:tblGrid>
      <w:tr>
        <w:tblPrEx>
          <w:tblLayout w:type="fixed"/>
          <w:tblCellMar>
            <w:top w:w="0" w:type="dxa"/>
            <w:left w:w="108" w:type="dxa"/>
            <w:bottom w:w="0" w:type="dxa"/>
            <w:right w:w="108" w:type="dxa"/>
          </w:tblCellMar>
        </w:tblPrEx>
        <w:trPr>
          <w:trHeight w:val="680" w:hRule="exact"/>
          <w:jc w:val="center"/>
        </w:trPr>
        <w:tc>
          <w:tcPr>
            <w:tcW w:w="79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napToGrid/>
              <w:spacing w:before="95" w:beforeLines="30" w:after="95" w:afterLines="30"/>
              <w:jc w:val="center"/>
              <w:rPr>
                <w:rFonts w:hint="eastAsia" w:ascii="仿宋" w:hAnsi="仿宋" w:eastAsia="仿宋" w:cs="仿宋"/>
                <w:b/>
                <w:bCs/>
                <w:sz w:val="24"/>
              </w:rPr>
            </w:pPr>
            <w:r>
              <w:rPr>
                <w:rFonts w:hint="eastAsia" w:ascii="仿宋" w:hAnsi="仿宋" w:eastAsia="仿宋" w:cs="仿宋"/>
                <w:b/>
                <w:bCs/>
                <w:sz w:val="24"/>
              </w:rPr>
              <w:t>序号</w:t>
            </w:r>
          </w:p>
        </w:tc>
        <w:tc>
          <w:tcPr>
            <w:tcW w:w="79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napToGrid/>
              <w:spacing w:before="95" w:beforeLines="30" w:after="95" w:afterLines="30"/>
              <w:jc w:val="center"/>
              <w:rPr>
                <w:rFonts w:hint="eastAsia" w:ascii="仿宋" w:hAnsi="仿宋" w:eastAsia="仿宋" w:cs="仿宋"/>
                <w:b/>
                <w:bCs/>
                <w:sz w:val="24"/>
              </w:rPr>
            </w:pPr>
            <w:r>
              <w:rPr>
                <w:rFonts w:hint="eastAsia" w:ascii="仿宋" w:hAnsi="仿宋" w:eastAsia="仿宋" w:cs="仿宋"/>
                <w:b/>
                <w:bCs/>
                <w:sz w:val="24"/>
              </w:rPr>
              <w:t>软件名称与版本</w:t>
            </w:r>
          </w:p>
        </w:tc>
      </w:tr>
      <w:tr>
        <w:tblPrEx>
          <w:tblLayout w:type="fixed"/>
          <w:tblCellMar>
            <w:top w:w="0" w:type="dxa"/>
            <w:left w:w="108" w:type="dxa"/>
            <w:bottom w:w="0" w:type="dxa"/>
            <w:right w:w="108" w:type="dxa"/>
          </w:tblCellMar>
        </w:tblPrEx>
        <w:trPr>
          <w:trHeight w:val="881" w:hRule="exact"/>
          <w:jc w:val="center"/>
        </w:trPr>
        <w:tc>
          <w:tcPr>
            <w:tcW w:w="79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95" w:beforeLines="30" w:after="95" w:afterLines="30"/>
              <w:jc w:val="center"/>
              <w:rPr>
                <w:rFonts w:ascii="宋体"/>
                <w:sz w:val="24"/>
              </w:rPr>
            </w:pPr>
            <w:r>
              <w:rPr>
                <w:rFonts w:hint="eastAsia" w:ascii="宋体"/>
                <w:sz w:val="24"/>
              </w:rPr>
              <w:t>1</w:t>
            </w:r>
          </w:p>
        </w:tc>
        <w:tc>
          <w:tcPr>
            <w:tcW w:w="79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napToGrid/>
              <w:spacing w:before="95" w:beforeLines="30" w:after="95" w:afterLines="30"/>
              <w:jc w:val="left"/>
              <w:rPr>
                <w:rFonts w:ascii="仿宋_GB2312" w:hAnsi="仿宋" w:eastAsia="仿宋_GB2312"/>
                <w:sz w:val="24"/>
              </w:rPr>
            </w:pPr>
            <w:r>
              <w:rPr>
                <w:rFonts w:hint="eastAsia" w:ascii="仿宋_GB2312" w:hAnsi="仿宋" w:eastAsia="仿宋_GB2312"/>
                <w:sz w:val="24"/>
              </w:rPr>
              <w:t>Win7操作系统（64位）；WPS Office 2018中文版；搜狗拼音输入法、搜狗五笔输入法。</w:t>
            </w:r>
          </w:p>
        </w:tc>
      </w:tr>
      <w:tr>
        <w:tblPrEx>
          <w:tblLayout w:type="fixed"/>
          <w:tblCellMar>
            <w:top w:w="0" w:type="dxa"/>
            <w:left w:w="108" w:type="dxa"/>
            <w:bottom w:w="0" w:type="dxa"/>
            <w:right w:w="108" w:type="dxa"/>
          </w:tblCellMar>
        </w:tblPrEx>
        <w:trPr>
          <w:trHeight w:val="718" w:hRule="exact"/>
          <w:jc w:val="center"/>
        </w:trPr>
        <w:tc>
          <w:tcPr>
            <w:tcW w:w="79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95" w:beforeLines="30" w:after="95" w:afterLines="30"/>
              <w:jc w:val="center"/>
              <w:rPr>
                <w:rFonts w:ascii="宋体"/>
                <w:sz w:val="24"/>
              </w:rPr>
            </w:pPr>
            <w:r>
              <w:rPr>
                <w:rFonts w:hint="eastAsia" w:ascii="宋体"/>
                <w:sz w:val="24"/>
              </w:rPr>
              <w:t>2</w:t>
            </w:r>
          </w:p>
        </w:tc>
        <w:tc>
          <w:tcPr>
            <w:tcW w:w="79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napToGrid/>
              <w:spacing w:before="95" w:beforeLines="30" w:after="95" w:afterLines="30"/>
              <w:jc w:val="left"/>
              <w:rPr>
                <w:rFonts w:ascii="仿宋_GB2312" w:hAnsi="仿宋" w:eastAsia="仿宋_GB2312"/>
                <w:sz w:val="24"/>
              </w:rPr>
            </w:pPr>
            <w:r>
              <w:rPr>
                <w:rFonts w:hint="eastAsia" w:ascii="仿宋_GB2312" w:hAnsi="仿宋" w:eastAsia="仿宋_GB2312"/>
                <w:sz w:val="24"/>
              </w:rPr>
              <w:t>编程及仿真软件JDSoft_SurfMill 9.0</w:t>
            </w:r>
          </w:p>
        </w:tc>
      </w:tr>
    </w:tbl>
    <w:p>
      <w:pPr>
        <w:pStyle w:val="2"/>
        <w:spacing w:line="540" w:lineRule="exact"/>
        <w:ind w:firstLine="585"/>
      </w:pPr>
      <w:r>
        <w:rPr>
          <w:rFonts w:hint="eastAsia"/>
        </w:rPr>
        <w:t>八、成绩评定</w:t>
      </w:r>
    </w:p>
    <w:p>
      <w:pPr>
        <w:snapToGrid/>
        <w:spacing w:line="240" w:lineRule="auto"/>
        <w:ind w:firstLine="600" w:firstLineChars="200"/>
        <w:rPr>
          <w:rFonts w:hint="eastAsia" w:ascii="仿宋" w:hAnsi="仿宋" w:eastAsia="仿宋" w:cs="仿宋"/>
          <w:sz w:val="30"/>
          <w:szCs w:val="30"/>
        </w:rPr>
      </w:pPr>
      <w:bookmarkStart w:id="0" w:name="_Hlk15306824"/>
      <w:r>
        <w:rPr>
          <w:rFonts w:hint="eastAsia" w:ascii="仿宋" w:hAnsi="仿宋" w:eastAsia="仿宋" w:cs="仿宋"/>
          <w:sz w:val="30"/>
          <w:szCs w:val="30"/>
        </w:rPr>
        <w:t>公开赛项评分标准和评分方式，赛项最终得分按百分制计分。成绩评定在公开、公平、公正、独立、透明的条件下进行。</w:t>
      </w:r>
    </w:p>
    <w:p>
      <w:pPr>
        <w:pStyle w:val="3"/>
        <w:spacing w:line="360" w:lineRule="auto"/>
        <w:ind w:firstLine="643" w:firstLineChars="200"/>
      </w:pPr>
      <w:r>
        <w:rPr>
          <w:rFonts w:hint="eastAsia"/>
        </w:rPr>
        <w:t>（一）评分原则</w:t>
      </w:r>
    </w:p>
    <w:p>
      <w:pPr>
        <w:snapToGrid/>
        <w:spacing w:line="240" w:lineRule="auto"/>
        <w:ind w:firstLine="600" w:firstLineChars="200"/>
        <w:jc w:val="left"/>
        <w:rPr>
          <w:rFonts w:hint="eastAsia" w:ascii="仿宋" w:hAnsi="仿宋" w:eastAsia="仿宋" w:cs="仿宋"/>
          <w:sz w:val="30"/>
          <w:szCs w:val="30"/>
        </w:rPr>
      </w:pPr>
      <w:r>
        <w:rPr>
          <w:rFonts w:hint="eastAsia" w:ascii="仿宋" w:hAnsi="仿宋" w:eastAsia="仿宋" w:cs="仿宋"/>
          <w:sz w:val="30"/>
          <w:szCs w:val="30"/>
        </w:rPr>
        <w:t>采用过程评价与结果评价相结合、能力评价与职业素养评价相结合的方式。为了保证评判“公平、公正、公开”，采取以下措施：</w:t>
      </w:r>
    </w:p>
    <w:p>
      <w:pPr>
        <w:snapToGrid/>
        <w:spacing w:line="240" w:lineRule="auto"/>
        <w:ind w:firstLine="600" w:firstLineChars="200"/>
        <w:jc w:val="left"/>
        <w:rPr>
          <w:rFonts w:hint="eastAsia" w:ascii="仿宋" w:hAnsi="仿宋" w:eastAsia="仿宋" w:cs="仿宋"/>
          <w:sz w:val="30"/>
          <w:szCs w:val="30"/>
        </w:rPr>
      </w:pPr>
      <w:r>
        <w:rPr>
          <w:rFonts w:hint="eastAsia" w:ascii="仿宋" w:hAnsi="仿宋" w:eastAsia="仿宋" w:cs="仿宋"/>
          <w:sz w:val="30"/>
          <w:szCs w:val="30"/>
        </w:rPr>
        <w:t>1.赛前一个月公开样题一套，公布在机械工业发展中心网页（www.cmedc.com），赛题与样题偏差不超过30%。</w:t>
      </w:r>
    </w:p>
    <w:p>
      <w:pPr>
        <w:snapToGrid/>
        <w:spacing w:line="240" w:lineRule="auto"/>
        <w:ind w:firstLine="600" w:firstLineChars="200"/>
        <w:jc w:val="left"/>
        <w:rPr>
          <w:rFonts w:hint="eastAsia" w:ascii="仿宋" w:hAnsi="仿宋" w:eastAsia="仿宋" w:cs="仿宋"/>
          <w:sz w:val="30"/>
          <w:szCs w:val="30"/>
        </w:rPr>
      </w:pPr>
      <w:r>
        <w:rPr>
          <w:rFonts w:hint="eastAsia" w:ascii="仿宋" w:hAnsi="仿宋" w:eastAsia="仿宋" w:cs="仿宋"/>
          <w:sz w:val="30"/>
          <w:szCs w:val="30"/>
        </w:rPr>
        <w:t>2.技术人员赛前统一调试各比赛设备，保证技术平台条件一致。</w:t>
      </w:r>
    </w:p>
    <w:p>
      <w:pPr>
        <w:snapToGrid/>
        <w:spacing w:line="240" w:lineRule="auto"/>
        <w:ind w:firstLine="600" w:firstLineChars="200"/>
        <w:jc w:val="left"/>
        <w:rPr>
          <w:rFonts w:hint="eastAsia" w:ascii="仿宋" w:hAnsi="仿宋" w:eastAsia="仿宋" w:cs="仿宋"/>
          <w:sz w:val="30"/>
          <w:szCs w:val="30"/>
        </w:rPr>
      </w:pPr>
      <w:r>
        <w:rPr>
          <w:rFonts w:hint="eastAsia" w:ascii="仿宋" w:hAnsi="仿宋" w:eastAsia="仿宋" w:cs="仿宋"/>
          <w:sz w:val="30"/>
          <w:szCs w:val="30"/>
        </w:rPr>
        <w:t>3.裁判队伍赛前封闭培训，统一评判标准。</w:t>
      </w:r>
    </w:p>
    <w:p>
      <w:pPr>
        <w:snapToGrid/>
        <w:spacing w:line="240" w:lineRule="auto"/>
        <w:ind w:firstLine="600" w:firstLineChars="200"/>
        <w:jc w:val="left"/>
        <w:rPr>
          <w:rFonts w:hint="eastAsia" w:ascii="仿宋" w:hAnsi="仿宋" w:eastAsia="仿宋" w:cs="仿宋"/>
          <w:sz w:val="30"/>
          <w:szCs w:val="30"/>
        </w:rPr>
      </w:pPr>
      <w:r>
        <w:rPr>
          <w:rFonts w:hint="eastAsia" w:ascii="仿宋" w:hAnsi="仿宋" w:eastAsia="仿宋" w:cs="仿宋"/>
          <w:sz w:val="30"/>
          <w:szCs w:val="30"/>
        </w:rPr>
        <w:t>4.工件测量结果由三坐标测量机等进行检测。</w:t>
      </w:r>
    </w:p>
    <w:p>
      <w:pPr>
        <w:snapToGrid/>
        <w:spacing w:line="240" w:lineRule="auto"/>
        <w:ind w:firstLine="600" w:firstLineChars="200"/>
        <w:jc w:val="left"/>
        <w:rPr>
          <w:rFonts w:hint="eastAsia" w:ascii="仿宋" w:hAnsi="仿宋" w:eastAsia="仿宋" w:cs="仿宋"/>
          <w:sz w:val="30"/>
          <w:szCs w:val="30"/>
        </w:rPr>
      </w:pPr>
      <w:r>
        <w:rPr>
          <w:rFonts w:hint="eastAsia" w:ascii="仿宋" w:hAnsi="仿宋" w:eastAsia="仿宋" w:cs="仿宋"/>
          <w:sz w:val="30"/>
          <w:szCs w:val="30"/>
        </w:rPr>
        <w:t>5.加强试题保密工作。</w:t>
      </w:r>
    </w:p>
    <w:bookmarkEnd w:id="0"/>
    <w:p>
      <w:pPr>
        <w:pStyle w:val="3"/>
        <w:spacing w:line="360" w:lineRule="auto"/>
        <w:ind w:firstLine="643" w:firstLineChars="200"/>
      </w:pPr>
      <w:r>
        <w:rPr>
          <w:rFonts w:hint="eastAsia"/>
        </w:rPr>
        <w:t>（二）评分细则</w:t>
      </w:r>
    </w:p>
    <w:p>
      <w:pPr>
        <w:snapToGrid w:val="0"/>
        <w:spacing w:after="157" w:afterLines="50" w:line="560" w:lineRule="exact"/>
        <w:ind w:firstLine="601"/>
        <w:jc w:val="left"/>
        <w:rPr>
          <w:rFonts w:hint="eastAsia" w:ascii="仿宋_GB2312" w:eastAsia="仿宋_GB2312"/>
          <w:sz w:val="30"/>
        </w:rPr>
      </w:pPr>
      <w:r>
        <w:rPr>
          <w:rFonts w:hint="eastAsia" w:ascii="仿宋_GB2312" w:eastAsia="仿宋_GB2312"/>
          <w:sz w:val="30"/>
        </w:rPr>
        <w:t>本赛项总成绩100分，具体分数配比如下表：</w:t>
      </w:r>
    </w:p>
    <w:tbl>
      <w:tblPr>
        <w:tblStyle w:val="9"/>
        <w:tblW w:w="8364" w:type="dxa"/>
        <w:tblInd w:w="108" w:type="dxa"/>
        <w:tblLayout w:type="fixed"/>
        <w:tblCellMar>
          <w:top w:w="0" w:type="dxa"/>
          <w:left w:w="108" w:type="dxa"/>
          <w:bottom w:w="0" w:type="dxa"/>
          <w:right w:w="108" w:type="dxa"/>
        </w:tblCellMar>
      </w:tblPr>
      <w:tblGrid>
        <w:gridCol w:w="709"/>
        <w:gridCol w:w="1877"/>
        <w:gridCol w:w="705"/>
        <w:gridCol w:w="4222"/>
        <w:gridCol w:w="851"/>
      </w:tblGrid>
      <w:tr>
        <w:tblPrEx>
          <w:tblLayout w:type="fixed"/>
          <w:tblCellMar>
            <w:top w:w="0" w:type="dxa"/>
            <w:left w:w="108" w:type="dxa"/>
            <w:bottom w:w="0" w:type="dxa"/>
            <w:right w:w="108" w:type="dxa"/>
          </w:tblCellMar>
        </w:tblPrEx>
        <w:trPr>
          <w:trHeight w:val="567" w:hRule="exact"/>
        </w:trPr>
        <w:tc>
          <w:tcPr>
            <w:tcW w:w="709" w:type="dxa"/>
            <w:tcBorders>
              <w:top w:val="single" w:color="000000" w:sz="12" w:space="0"/>
              <w:left w:val="single" w:color="000000" w:sz="12"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ind w:firstLine="0"/>
              <w:jc w:val="center"/>
              <w:textAlignment w:val="auto"/>
              <w:rPr>
                <w:rFonts w:ascii="仿宋_GB2312" w:hAnsi="仿宋_GB2312" w:eastAsia="仿宋_GB2312"/>
                <w:b/>
                <w:bCs/>
                <w:spacing w:val="-2"/>
                <w:sz w:val="24"/>
              </w:rPr>
            </w:pPr>
            <w:r>
              <w:rPr>
                <w:rFonts w:hint="eastAsia" w:ascii="仿宋_GB2312" w:hAnsi="仿宋_GB2312" w:eastAsia="仿宋_GB2312"/>
                <w:b/>
                <w:bCs/>
                <w:spacing w:val="-2"/>
                <w:sz w:val="24"/>
              </w:rPr>
              <w:t>序号</w:t>
            </w:r>
          </w:p>
        </w:tc>
        <w:tc>
          <w:tcPr>
            <w:tcW w:w="1877" w:type="dxa"/>
            <w:tcBorders>
              <w:top w:val="single" w:color="000000" w:sz="12"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ind w:firstLine="0"/>
              <w:jc w:val="center"/>
              <w:textAlignment w:val="auto"/>
              <w:rPr>
                <w:rFonts w:ascii="仿宋_GB2312" w:hAnsi="仿宋_GB2312" w:eastAsia="仿宋_GB2312"/>
                <w:b/>
                <w:bCs/>
                <w:spacing w:val="-2"/>
                <w:sz w:val="24"/>
              </w:rPr>
            </w:pPr>
            <w:r>
              <w:rPr>
                <w:rFonts w:hint="eastAsia" w:ascii="仿宋_GB2312" w:hAnsi="仿宋_GB2312" w:eastAsia="仿宋_GB2312"/>
                <w:b/>
                <w:bCs/>
                <w:spacing w:val="-2"/>
                <w:sz w:val="24"/>
              </w:rPr>
              <w:t>一级指标</w:t>
            </w:r>
          </w:p>
        </w:tc>
        <w:tc>
          <w:tcPr>
            <w:tcW w:w="705" w:type="dxa"/>
            <w:tcBorders>
              <w:top w:val="single" w:color="000000" w:sz="12"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ind w:firstLine="0"/>
              <w:jc w:val="center"/>
              <w:textAlignment w:val="auto"/>
              <w:rPr>
                <w:rFonts w:ascii="仿宋_GB2312" w:hAnsi="仿宋_GB2312" w:eastAsia="仿宋_GB2312"/>
                <w:b/>
                <w:bCs/>
                <w:spacing w:val="-2"/>
                <w:sz w:val="24"/>
              </w:rPr>
            </w:pPr>
            <w:r>
              <w:rPr>
                <w:rFonts w:hint="eastAsia" w:ascii="仿宋_GB2312" w:hAnsi="仿宋_GB2312" w:eastAsia="仿宋_GB2312"/>
                <w:b/>
                <w:bCs/>
                <w:spacing w:val="-2"/>
                <w:sz w:val="24"/>
              </w:rPr>
              <w:t>比例</w:t>
            </w:r>
          </w:p>
        </w:tc>
        <w:tc>
          <w:tcPr>
            <w:tcW w:w="4222" w:type="dxa"/>
            <w:tcBorders>
              <w:top w:val="single" w:color="000000" w:sz="12"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ind w:firstLine="0"/>
              <w:jc w:val="center"/>
              <w:textAlignment w:val="auto"/>
              <w:rPr>
                <w:rFonts w:ascii="仿宋_GB2312" w:hAnsi="仿宋_GB2312" w:eastAsia="仿宋_GB2312"/>
                <w:b/>
                <w:bCs/>
                <w:spacing w:val="-2"/>
                <w:sz w:val="24"/>
              </w:rPr>
            </w:pPr>
            <w:r>
              <w:rPr>
                <w:rFonts w:hint="eastAsia" w:ascii="仿宋_GB2312" w:hAnsi="仿宋_GB2312" w:eastAsia="仿宋_GB2312"/>
                <w:b/>
                <w:bCs/>
                <w:spacing w:val="-2"/>
                <w:sz w:val="24"/>
              </w:rPr>
              <w:t>二级指标</w:t>
            </w:r>
          </w:p>
        </w:tc>
        <w:tc>
          <w:tcPr>
            <w:tcW w:w="851" w:type="dxa"/>
            <w:tcBorders>
              <w:top w:val="single" w:color="000000" w:sz="12" w:space="0"/>
              <w:left w:val="single" w:color="000000" w:sz="4" w:space="0"/>
              <w:bottom w:val="single" w:color="000000" w:sz="4" w:space="0"/>
              <w:right w:val="single" w:color="000000" w:sz="12"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ind w:firstLine="0"/>
              <w:jc w:val="center"/>
              <w:textAlignment w:val="auto"/>
              <w:rPr>
                <w:rFonts w:ascii="仿宋_GB2312" w:hAnsi="仿宋_GB2312" w:eastAsia="仿宋_GB2312"/>
                <w:b/>
                <w:bCs/>
                <w:spacing w:val="-2"/>
                <w:sz w:val="24"/>
              </w:rPr>
            </w:pPr>
            <w:r>
              <w:rPr>
                <w:rFonts w:hint="eastAsia" w:ascii="仿宋_GB2312" w:hAnsi="仿宋_GB2312" w:eastAsia="仿宋_GB2312"/>
                <w:b/>
                <w:bCs/>
                <w:spacing w:val="-2"/>
                <w:sz w:val="24"/>
              </w:rPr>
              <w:t>分值</w:t>
            </w:r>
          </w:p>
        </w:tc>
      </w:tr>
      <w:tr>
        <w:tblPrEx>
          <w:tblLayout w:type="fixed"/>
          <w:tblCellMar>
            <w:top w:w="0" w:type="dxa"/>
            <w:left w:w="108" w:type="dxa"/>
            <w:bottom w:w="0" w:type="dxa"/>
            <w:right w:w="108" w:type="dxa"/>
          </w:tblCellMar>
        </w:tblPrEx>
        <w:trPr>
          <w:trHeight w:val="567" w:hRule="exact"/>
        </w:trPr>
        <w:tc>
          <w:tcPr>
            <w:tcW w:w="709" w:type="dxa"/>
            <w:tcBorders>
              <w:top w:val="single" w:color="000000" w:sz="4" w:space="0"/>
              <w:left w:val="single" w:color="000000" w:sz="12"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ind w:firstLine="0"/>
              <w:jc w:val="center"/>
              <w:textAlignment w:val="auto"/>
              <w:rPr>
                <w:rFonts w:ascii="仿宋_GB2312" w:hAnsi="仿宋_GB2312" w:eastAsia="仿宋_GB2312"/>
                <w:spacing w:val="-2"/>
                <w:sz w:val="24"/>
              </w:rPr>
            </w:pPr>
            <w:r>
              <w:rPr>
                <w:rFonts w:hint="eastAsia" w:ascii="仿宋_GB2312" w:hAnsi="仿宋_GB2312" w:eastAsia="仿宋_GB2312"/>
                <w:spacing w:val="-2"/>
                <w:sz w:val="24"/>
              </w:rPr>
              <w:t>1</w:t>
            </w:r>
          </w:p>
        </w:tc>
        <w:tc>
          <w:tcPr>
            <w:tcW w:w="187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line="240" w:lineRule="auto"/>
              <w:ind w:firstLine="0"/>
              <w:jc w:val="center"/>
              <w:textAlignment w:val="auto"/>
              <w:rPr>
                <w:rFonts w:ascii="仿宋_GB2312" w:hAnsi="仿宋_GB2312" w:eastAsia="仿宋_GB2312"/>
                <w:spacing w:val="-2"/>
                <w:sz w:val="24"/>
              </w:rPr>
            </w:pPr>
            <w:r>
              <w:rPr>
                <w:rFonts w:hint="eastAsia" w:ascii="仿宋_GB2312" w:hAnsi="仿宋_GB2312" w:eastAsia="仿宋_GB2312"/>
                <w:spacing w:val="-2"/>
                <w:sz w:val="24"/>
              </w:rPr>
              <w:t>数控编程与仿真</w:t>
            </w:r>
          </w:p>
        </w:tc>
        <w:tc>
          <w:tcPr>
            <w:tcW w:w="70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ind w:firstLine="0"/>
              <w:jc w:val="center"/>
              <w:textAlignment w:val="auto"/>
              <w:rPr>
                <w:rFonts w:ascii="仿宋_GB2312" w:hAnsi="仿宋_GB2312" w:eastAsia="仿宋_GB2312"/>
                <w:spacing w:val="-2"/>
                <w:sz w:val="24"/>
              </w:rPr>
            </w:pPr>
            <w:r>
              <w:rPr>
                <w:rFonts w:hint="eastAsia" w:ascii="仿宋_GB2312" w:hAnsi="仿宋_GB2312" w:eastAsia="仿宋_GB2312"/>
                <w:spacing w:val="-2"/>
                <w:sz w:val="24"/>
              </w:rPr>
              <w:t>1</w:t>
            </w:r>
            <w:r>
              <w:rPr>
                <w:rFonts w:hint="eastAsia" w:ascii="仿宋_GB2312" w:hAnsi="仿宋_GB2312" w:eastAsia="仿宋_GB2312"/>
                <w:spacing w:val="-2"/>
                <w:sz w:val="24"/>
                <w:lang w:val="en-US" w:eastAsia="zh-CN"/>
              </w:rPr>
              <w:t>0</w:t>
            </w:r>
            <w:r>
              <w:rPr>
                <w:rFonts w:ascii="仿宋_GB2312" w:hAnsi="仿宋_GB2312" w:eastAsia="仿宋_GB2312"/>
                <w:spacing w:val="-2"/>
                <w:sz w:val="24"/>
              </w:rPr>
              <w:t>%</w:t>
            </w:r>
          </w:p>
        </w:tc>
        <w:tc>
          <w:tcPr>
            <w:tcW w:w="422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ind w:firstLine="0"/>
              <w:jc w:val="center"/>
              <w:textAlignment w:val="auto"/>
              <w:rPr>
                <w:rFonts w:ascii="仿宋_GB2312" w:hAnsi="仿宋_GB2312" w:eastAsia="仿宋_GB2312"/>
                <w:spacing w:val="-2"/>
                <w:sz w:val="24"/>
              </w:rPr>
            </w:pPr>
            <w:r>
              <w:rPr>
                <w:rFonts w:ascii="仿宋_GB2312" w:hAnsi="仿宋_GB2312" w:eastAsia="仿宋_GB2312"/>
                <w:spacing w:val="-2"/>
                <w:sz w:val="24"/>
              </w:rPr>
              <w:t>仿真</w:t>
            </w:r>
            <w:r>
              <w:rPr>
                <w:rFonts w:hint="eastAsia" w:ascii="仿宋_GB2312" w:hAnsi="仿宋_GB2312" w:eastAsia="仿宋_GB2312"/>
                <w:spacing w:val="-2"/>
                <w:sz w:val="24"/>
              </w:rPr>
              <w:t>加工</w:t>
            </w:r>
          </w:p>
        </w:tc>
        <w:tc>
          <w:tcPr>
            <w:tcW w:w="851" w:type="dxa"/>
            <w:tcBorders>
              <w:top w:val="single" w:color="000000" w:sz="4" w:space="0"/>
              <w:left w:val="single" w:color="000000" w:sz="4" w:space="0"/>
              <w:bottom w:val="single" w:color="000000" w:sz="4" w:space="0"/>
              <w:right w:val="single" w:color="000000" w:sz="12"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ind w:firstLine="0"/>
              <w:jc w:val="center"/>
              <w:textAlignment w:val="auto"/>
              <w:rPr>
                <w:rFonts w:hint="default" w:ascii="仿宋_GB2312" w:hAnsi="仿宋_GB2312" w:eastAsia="仿宋_GB2312"/>
                <w:spacing w:val="-2"/>
                <w:sz w:val="24"/>
                <w:lang w:val="en-US" w:eastAsia="zh-CN"/>
              </w:rPr>
            </w:pPr>
            <w:r>
              <w:rPr>
                <w:rFonts w:hint="eastAsia" w:ascii="仿宋_GB2312" w:hAnsi="仿宋_GB2312" w:eastAsia="仿宋_GB2312"/>
                <w:spacing w:val="-2"/>
                <w:sz w:val="24"/>
                <w:lang w:val="en-US" w:eastAsia="zh-CN"/>
              </w:rPr>
              <w:t>10</w:t>
            </w:r>
          </w:p>
        </w:tc>
      </w:tr>
      <w:tr>
        <w:tblPrEx>
          <w:tblLayout w:type="fixed"/>
          <w:tblCellMar>
            <w:top w:w="0" w:type="dxa"/>
            <w:left w:w="108" w:type="dxa"/>
            <w:bottom w:w="0" w:type="dxa"/>
            <w:right w:w="108" w:type="dxa"/>
          </w:tblCellMar>
        </w:tblPrEx>
        <w:trPr>
          <w:trHeight w:val="567" w:hRule="exact"/>
        </w:trPr>
        <w:tc>
          <w:tcPr>
            <w:tcW w:w="709" w:type="dxa"/>
            <w:vMerge w:val="restart"/>
            <w:tcBorders>
              <w:top w:val="single" w:color="auto" w:sz="4" w:space="0"/>
              <w:left w:val="single" w:color="000000" w:sz="12"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line="240" w:lineRule="auto"/>
              <w:ind w:firstLine="0"/>
              <w:jc w:val="center"/>
              <w:textAlignment w:val="auto"/>
              <w:rPr>
                <w:rFonts w:hint="eastAsia" w:ascii="仿宋_GB2312" w:hAnsi="仿宋_GB2312" w:eastAsia="仿宋_GB2312"/>
                <w:spacing w:val="-2"/>
                <w:sz w:val="24"/>
                <w:lang w:val="en-US" w:eastAsia="zh-CN"/>
              </w:rPr>
            </w:pPr>
            <w:r>
              <w:rPr>
                <w:rFonts w:hint="eastAsia" w:ascii="仿宋_GB2312" w:hAnsi="仿宋_GB2312" w:eastAsia="仿宋_GB2312"/>
                <w:spacing w:val="-2"/>
                <w:sz w:val="24"/>
                <w:lang w:val="en-US" w:eastAsia="zh-CN"/>
              </w:rPr>
              <w:t>2</w:t>
            </w:r>
          </w:p>
        </w:tc>
        <w:tc>
          <w:tcPr>
            <w:tcW w:w="1877" w:type="dxa"/>
            <w:vMerge w:val="restart"/>
            <w:tcBorders>
              <w:top w:val="single" w:color="auto" w:sz="4" w:space="0"/>
              <w:left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line="240" w:lineRule="auto"/>
              <w:ind w:firstLine="0"/>
              <w:jc w:val="center"/>
              <w:textAlignment w:val="auto"/>
              <w:rPr>
                <w:rFonts w:ascii="仿宋_GB2312" w:hAnsi="仿宋_GB2312" w:eastAsia="仿宋_GB2312"/>
                <w:spacing w:val="-2"/>
                <w:sz w:val="24"/>
              </w:rPr>
            </w:pPr>
            <w:r>
              <w:rPr>
                <w:rFonts w:hint="eastAsia" w:ascii="仿宋_GB2312" w:hAnsi="仿宋_GB2312" w:eastAsia="仿宋_GB2312"/>
                <w:spacing w:val="-2"/>
                <w:sz w:val="24"/>
              </w:rPr>
              <w:t>五轴数控加工</w:t>
            </w:r>
          </w:p>
        </w:tc>
        <w:tc>
          <w:tcPr>
            <w:tcW w:w="705" w:type="dxa"/>
            <w:vMerge w:val="restart"/>
            <w:tcBorders>
              <w:top w:val="single" w:color="auto" w:sz="4" w:space="0"/>
              <w:left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ind w:firstLine="0"/>
              <w:jc w:val="center"/>
              <w:textAlignment w:val="auto"/>
              <w:rPr>
                <w:rFonts w:ascii="仿宋_GB2312" w:hAnsi="仿宋_GB2312" w:eastAsia="仿宋_GB2312"/>
                <w:spacing w:val="-2"/>
                <w:sz w:val="24"/>
              </w:rPr>
            </w:pPr>
            <w:r>
              <w:rPr>
                <w:rFonts w:hint="eastAsia" w:ascii="仿宋_GB2312" w:hAnsi="仿宋_GB2312" w:eastAsia="仿宋_GB2312"/>
                <w:spacing w:val="-2"/>
                <w:sz w:val="24"/>
                <w:lang w:val="en-US" w:eastAsia="zh-CN"/>
              </w:rPr>
              <w:t>7</w:t>
            </w:r>
            <w:r>
              <w:rPr>
                <w:rFonts w:hint="eastAsia" w:ascii="仿宋_GB2312" w:hAnsi="仿宋_GB2312" w:eastAsia="仿宋_GB2312"/>
                <w:spacing w:val="-2"/>
                <w:sz w:val="24"/>
              </w:rPr>
              <w:t>5</w:t>
            </w:r>
            <w:r>
              <w:rPr>
                <w:rFonts w:ascii="仿宋_GB2312" w:hAnsi="仿宋_GB2312" w:eastAsia="仿宋_GB2312"/>
                <w:spacing w:val="-2"/>
                <w:sz w:val="24"/>
              </w:rPr>
              <w:t>%</w:t>
            </w:r>
          </w:p>
        </w:tc>
        <w:tc>
          <w:tcPr>
            <w:tcW w:w="4222" w:type="dxa"/>
            <w:tcBorders>
              <w:top w:val="single" w:color="auto"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ind w:firstLine="0"/>
              <w:jc w:val="center"/>
              <w:textAlignment w:val="auto"/>
              <w:rPr>
                <w:rFonts w:ascii="仿宋_GB2312" w:hAnsi="仿宋_GB2312" w:eastAsia="仿宋_GB2312"/>
                <w:spacing w:val="-2"/>
                <w:sz w:val="24"/>
              </w:rPr>
            </w:pPr>
            <w:r>
              <w:rPr>
                <w:rFonts w:hint="eastAsia" w:ascii="仿宋_GB2312" w:hAnsi="仿宋_GB2312" w:eastAsia="仿宋_GB2312"/>
                <w:spacing w:val="-2"/>
                <w:sz w:val="24"/>
              </w:rPr>
              <w:t>测头标定</w:t>
            </w:r>
          </w:p>
        </w:tc>
        <w:tc>
          <w:tcPr>
            <w:tcW w:w="851" w:type="dxa"/>
            <w:tcBorders>
              <w:top w:val="single" w:color="000000" w:sz="4" w:space="0"/>
              <w:left w:val="single" w:color="000000" w:sz="4" w:space="0"/>
              <w:bottom w:val="single" w:color="000000" w:sz="4" w:space="0"/>
              <w:right w:val="single" w:color="000000" w:sz="12"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ind w:firstLine="0"/>
              <w:jc w:val="center"/>
              <w:textAlignment w:val="auto"/>
              <w:rPr>
                <w:rFonts w:ascii="仿宋_GB2312" w:hAnsi="仿宋_GB2312" w:eastAsia="仿宋_GB2312"/>
                <w:spacing w:val="-2"/>
                <w:sz w:val="24"/>
              </w:rPr>
            </w:pPr>
            <w:r>
              <w:rPr>
                <w:rFonts w:hint="eastAsia" w:ascii="仿宋_GB2312" w:hAnsi="仿宋_GB2312" w:eastAsia="仿宋_GB2312"/>
                <w:spacing w:val="-2"/>
                <w:sz w:val="24"/>
              </w:rPr>
              <w:t>2</w:t>
            </w:r>
          </w:p>
        </w:tc>
      </w:tr>
      <w:tr>
        <w:tblPrEx>
          <w:tblLayout w:type="fixed"/>
          <w:tblCellMar>
            <w:top w:w="0" w:type="dxa"/>
            <w:left w:w="108" w:type="dxa"/>
            <w:bottom w:w="0" w:type="dxa"/>
            <w:right w:w="108" w:type="dxa"/>
          </w:tblCellMar>
        </w:tblPrEx>
        <w:trPr>
          <w:trHeight w:val="567" w:hRule="exact"/>
        </w:trPr>
        <w:tc>
          <w:tcPr>
            <w:tcW w:w="709" w:type="dxa"/>
            <w:vMerge w:val="continue"/>
            <w:tcBorders>
              <w:left w:val="single" w:color="000000" w:sz="12" w:space="0"/>
              <w:bottom w:val="single" w:color="auto"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line="240" w:lineRule="auto"/>
              <w:ind w:firstLine="0"/>
              <w:jc w:val="center"/>
              <w:textAlignment w:val="auto"/>
              <w:rPr>
                <w:rFonts w:ascii="仿宋_GB2312" w:hAnsi="仿宋_GB2312" w:eastAsia="仿宋_GB2312"/>
                <w:spacing w:val="-2"/>
                <w:sz w:val="24"/>
              </w:rPr>
            </w:pPr>
          </w:p>
        </w:tc>
        <w:tc>
          <w:tcPr>
            <w:tcW w:w="1877" w:type="dxa"/>
            <w:vMerge w:val="continue"/>
            <w:tcBorders>
              <w:left w:val="single" w:color="000000" w:sz="4" w:space="0"/>
              <w:bottom w:val="single" w:color="auto"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line="240" w:lineRule="auto"/>
              <w:ind w:firstLine="0"/>
              <w:jc w:val="center"/>
              <w:textAlignment w:val="auto"/>
              <w:rPr>
                <w:rFonts w:ascii="仿宋_GB2312" w:hAnsi="仿宋_GB2312" w:eastAsia="仿宋_GB2312"/>
                <w:spacing w:val="-2"/>
                <w:sz w:val="24"/>
              </w:rPr>
            </w:pPr>
          </w:p>
        </w:tc>
        <w:tc>
          <w:tcPr>
            <w:tcW w:w="705" w:type="dxa"/>
            <w:vMerge w:val="continue"/>
            <w:tcBorders>
              <w:left w:val="single" w:color="000000" w:sz="4" w:space="0"/>
              <w:bottom w:val="single" w:color="auto"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ind w:firstLine="0"/>
              <w:jc w:val="center"/>
              <w:textAlignment w:val="auto"/>
              <w:rPr>
                <w:rFonts w:ascii="仿宋_GB2312" w:hAnsi="仿宋_GB2312" w:eastAsia="仿宋_GB2312"/>
                <w:spacing w:val="-2"/>
                <w:sz w:val="24"/>
              </w:rPr>
            </w:pPr>
          </w:p>
        </w:tc>
        <w:tc>
          <w:tcPr>
            <w:tcW w:w="4222" w:type="dxa"/>
            <w:tcBorders>
              <w:top w:val="single" w:color="000000" w:sz="4" w:space="0"/>
              <w:left w:val="single" w:color="000000" w:sz="4" w:space="0"/>
              <w:bottom w:val="single" w:color="auto"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ind w:firstLine="0"/>
              <w:jc w:val="center"/>
              <w:textAlignment w:val="auto"/>
              <w:rPr>
                <w:rFonts w:ascii="仿宋_GB2312" w:hAnsi="仿宋_GB2312" w:eastAsia="仿宋_GB2312"/>
                <w:spacing w:val="-2"/>
                <w:sz w:val="24"/>
              </w:rPr>
            </w:pPr>
            <w:r>
              <w:rPr>
                <w:rFonts w:hint="eastAsia" w:ascii="仿宋_GB2312" w:hAnsi="仿宋_GB2312" w:eastAsia="仿宋_GB2312"/>
                <w:spacing w:val="-2"/>
                <w:sz w:val="24"/>
              </w:rPr>
              <w:t>尺寸检测、表面粗糙度检测</w:t>
            </w:r>
          </w:p>
        </w:tc>
        <w:tc>
          <w:tcPr>
            <w:tcW w:w="851" w:type="dxa"/>
            <w:tcBorders>
              <w:top w:val="single" w:color="000000" w:sz="4" w:space="0"/>
              <w:left w:val="single" w:color="000000" w:sz="4" w:space="0"/>
              <w:bottom w:val="single" w:color="000000" w:sz="4" w:space="0"/>
              <w:right w:val="single" w:color="000000" w:sz="12"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ind w:firstLine="0"/>
              <w:jc w:val="center"/>
              <w:textAlignment w:val="auto"/>
              <w:rPr>
                <w:rFonts w:hint="default" w:ascii="仿宋_GB2312" w:hAnsi="仿宋_GB2312" w:eastAsia="仿宋_GB2312"/>
                <w:spacing w:val="-2"/>
                <w:sz w:val="24"/>
                <w:lang w:val="en-US" w:eastAsia="zh-CN"/>
              </w:rPr>
            </w:pPr>
            <w:r>
              <w:rPr>
                <w:rFonts w:hint="eastAsia" w:ascii="仿宋_GB2312" w:hAnsi="仿宋_GB2312" w:eastAsia="仿宋_GB2312"/>
                <w:spacing w:val="-2"/>
                <w:sz w:val="24"/>
                <w:lang w:val="en-US" w:eastAsia="zh-CN"/>
              </w:rPr>
              <w:t>73</w:t>
            </w:r>
          </w:p>
        </w:tc>
      </w:tr>
      <w:tr>
        <w:tblPrEx>
          <w:tblLayout w:type="fixed"/>
          <w:tblCellMar>
            <w:top w:w="0" w:type="dxa"/>
            <w:left w:w="108" w:type="dxa"/>
            <w:bottom w:w="0" w:type="dxa"/>
            <w:right w:w="108" w:type="dxa"/>
          </w:tblCellMar>
        </w:tblPrEx>
        <w:trPr>
          <w:trHeight w:val="567" w:hRule="exact"/>
        </w:trPr>
        <w:tc>
          <w:tcPr>
            <w:tcW w:w="709" w:type="dxa"/>
            <w:tcBorders>
              <w:top w:val="single" w:color="000000" w:sz="4" w:space="0"/>
              <w:left w:val="single" w:color="000000" w:sz="12"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ind w:firstLine="0"/>
              <w:jc w:val="center"/>
              <w:textAlignment w:val="auto"/>
              <w:rPr>
                <w:rFonts w:hint="eastAsia" w:ascii="宋体" w:eastAsia="宋体"/>
                <w:sz w:val="20"/>
                <w:lang w:eastAsia="zh-CN"/>
              </w:rPr>
            </w:pPr>
            <w:r>
              <w:rPr>
                <w:rFonts w:hint="eastAsia" w:ascii="仿宋_GB2312" w:hAnsi="仿宋_GB2312" w:eastAsia="仿宋_GB2312"/>
                <w:spacing w:val="-2"/>
                <w:sz w:val="24"/>
                <w:lang w:val="en-US" w:eastAsia="zh-CN"/>
              </w:rPr>
              <w:t>3</w:t>
            </w:r>
          </w:p>
        </w:tc>
        <w:tc>
          <w:tcPr>
            <w:tcW w:w="1877" w:type="dxa"/>
            <w:tcBorders>
              <w:top w:val="single" w:color="000000" w:sz="4" w:space="0"/>
              <w:left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line="240" w:lineRule="auto"/>
              <w:ind w:firstLine="0"/>
              <w:jc w:val="center"/>
              <w:textAlignment w:val="auto"/>
              <w:rPr>
                <w:rFonts w:ascii="宋体"/>
                <w:sz w:val="20"/>
              </w:rPr>
            </w:pPr>
            <w:r>
              <w:rPr>
                <w:rFonts w:hint="eastAsia" w:ascii="仿宋_GB2312" w:hAnsi="仿宋_GB2312" w:eastAsia="仿宋_GB2312"/>
                <w:spacing w:val="-2"/>
                <w:sz w:val="24"/>
              </w:rPr>
              <w:t>在机检测</w:t>
            </w:r>
          </w:p>
        </w:tc>
        <w:tc>
          <w:tcPr>
            <w:tcW w:w="705" w:type="dxa"/>
            <w:tcBorders>
              <w:top w:val="single" w:color="000000" w:sz="4" w:space="0"/>
              <w:left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ind w:firstLine="0"/>
              <w:jc w:val="center"/>
              <w:textAlignment w:val="auto"/>
              <w:rPr>
                <w:rFonts w:ascii="仿宋_GB2312" w:hAnsi="仿宋_GB2312" w:eastAsia="仿宋_GB2312"/>
                <w:spacing w:val="-2"/>
                <w:sz w:val="24"/>
              </w:rPr>
            </w:pPr>
            <w:r>
              <w:rPr>
                <w:rFonts w:hint="eastAsia" w:ascii="仿宋_GB2312" w:hAnsi="仿宋_GB2312" w:eastAsia="仿宋_GB2312"/>
                <w:spacing w:val="-2"/>
                <w:sz w:val="24"/>
              </w:rPr>
              <w:t>10</w:t>
            </w:r>
            <w:r>
              <w:rPr>
                <w:rFonts w:ascii="仿宋_GB2312" w:hAnsi="仿宋_GB2312" w:eastAsia="仿宋_GB2312"/>
                <w:spacing w:val="-2"/>
                <w:sz w:val="24"/>
              </w:rPr>
              <w:t>%</w:t>
            </w:r>
          </w:p>
        </w:tc>
        <w:tc>
          <w:tcPr>
            <w:tcW w:w="4222" w:type="dxa"/>
            <w:tcBorders>
              <w:top w:val="single" w:color="000000" w:sz="4" w:space="0"/>
              <w:left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ind w:firstLine="0"/>
              <w:jc w:val="center"/>
              <w:textAlignment w:val="auto"/>
              <w:rPr>
                <w:rFonts w:ascii="仿宋_GB2312" w:hAnsi="仿宋_GB2312" w:eastAsia="仿宋_GB2312"/>
                <w:spacing w:val="-2"/>
                <w:sz w:val="24"/>
              </w:rPr>
            </w:pPr>
            <w:r>
              <w:rPr>
                <w:rFonts w:hint="eastAsia" w:ascii="仿宋_GB2312" w:hAnsi="仿宋_GB2312" w:eastAsia="仿宋_GB2312"/>
                <w:spacing w:val="-2"/>
                <w:sz w:val="24"/>
              </w:rPr>
              <w:t>在机测量结果评判</w:t>
            </w:r>
          </w:p>
        </w:tc>
        <w:tc>
          <w:tcPr>
            <w:tcW w:w="851" w:type="dxa"/>
            <w:tcBorders>
              <w:top w:val="single" w:color="000000" w:sz="4" w:space="0"/>
              <w:left w:val="single" w:color="000000" w:sz="4" w:space="0"/>
              <w:bottom w:val="single" w:color="auto" w:sz="4" w:space="0"/>
              <w:right w:val="single" w:color="000000" w:sz="12"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ind w:firstLine="0"/>
              <w:jc w:val="center"/>
              <w:textAlignment w:val="auto"/>
              <w:rPr>
                <w:rFonts w:hint="default" w:ascii="仿宋_GB2312" w:hAnsi="仿宋_GB2312" w:eastAsia="仿宋_GB2312"/>
                <w:spacing w:val="-2"/>
                <w:sz w:val="24"/>
                <w:lang w:val="en-US" w:eastAsia="zh-CN"/>
              </w:rPr>
            </w:pPr>
            <w:r>
              <w:rPr>
                <w:rFonts w:hint="eastAsia" w:ascii="仿宋_GB2312" w:hAnsi="仿宋_GB2312" w:eastAsia="仿宋_GB2312"/>
                <w:spacing w:val="-2"/>
                <w:sz w:val="24"/>
                <w:lang w:val="en-US" w:eastAsia="zh-CN"/>
              </w:rPr>
              <w:t>10</w:t>
            </w:r>
          </w:p>
        </w:tc>
      </w:tr>
      <w:tr>
        <w:tblPrEx>
          <w:tblLayout w:type="fixed"/>
          <w:tblCellMar>
            <w:top w:w="0" w:type="dxa"/>
            <w:left w:w="108" w:type="dxa"/>
            <w:bottom w:w="0" w:type="dxa"/>
            <w:right w:w="108" w:type="dxa"/>
          </w:tblCellMar>
        </w:tblPrEx>
        <w:trPr>
          <w:trHeight w:val="567" w:hRule="exact"/>
        </w:trPr>
        <w:tc>
          <w:tcPr>
            <w:tcW w:w="709" w:type="dxa"/>
            <w:vMerge w:val="restart"/>
            <w:tcBorders>
              <w:top w:val="single" w:color="000000" w:sz="4" w:space="0"/>
              <w:left w:val="single" w:color="000000" w:sz="12"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ind w:firstLine="0"/>
              <w:jc w:val="center"/>
              <w:textAlignment w:val="auto"/>
              <w:rPr>
                <w:rFonts w:hint="eastAsia" w:ascii="仿宋_GB2312" w:hAnsi="仿宋_GB2312" w:eastAsia="仿宋_GB2312"/>
                <w:spacing w:val="-2"/>
                <w:sz w:val="24"/>
                <w:lang w:eastAsia="zh-CN"/>
              </w:rPr>
            </w:pPr>
            <w:r>
              <w:rPr>
                <w:rFonts w:hint="eastAsia" w:ascii="仿宋_GB2312" w:hAnsi="仿宋_GB2312" w:eastAsia="仿宋_GB2312"/>
                <w:spacing w:val="-2"/>
                <w:sz w:val="24"/>
                <w:lang w:val="en-US" w:eastAsia="zh-CN"/>
              </w:rPr>
              <w:t>4</w:t>
            </w:r>
          </w:p>
        </w:tc>
        <w:tc>
          <w:tcPr>
            <w:tcW w:w="1877" w:type="dxa"/>
            <w:vMerge w:val="restart"/>
            <w:tcBorders>
              <w:top w:val="single" w:color="000000" w:sz="4" w:space="0"/>
              <w:left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line="240" w:lineRule="auto"/>
              <w:ind w:firstLine="0"/>
              <w:jc w:val="center"/>
              <w:textAlignment w:val="auto"/>
              <w:rPr>
                <w:rFonts w:ascii="仿宋_GB2312" w:hAnsi="仿宋_GB2312" w:eastAsia="仿宋_GB2312"/>
                <w:spacing w:val="-2"/>
                <w:sz w:val="24"/>
              </w:rPr>
            </w:pPr>
            <w:r>
              <w:rPr>
                <w:rFonts w:hint="eastAsia" w:ascii="仿宋_GB2312" w:hAnsi="仿宋_GB2312" w:eastAsia="仿宋_GB2312"/>
                <w:spacing w:val="-2"/>
                <w:sz w:val="24"/>
              </w:rPr>
              <w:t>职业素养与操作安全</w:t>
            </w:r>
          </w:p>
        </w:tc>
        <w:tc>
          <w:tcPr>
            <w:tcW w:w="705" w:type="dxa"/>
            <w:vMerge w:val="restart"/>
            <w:tcBorders>
              <w:top w:val="single" w:color="000000" w:sz="4" w:space="0"/>
              <w:left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ind w:firstLine="0"/>
              <w:jc w:val="center"/>
              <w:textAlignment w:val="auto"/>
              <w:rPr>
                <w:rFonts w:ascii="仿宋_GB2312" w:hAnsi="仿宋_GB2312" w:eastAsia="仿宋_GB2312"/>
                <w:spacing w:val="-2"/>
                <w:sz w:val="24"/>
              </w:rPr>
            </w:pPr>
            <w:r>
              <w:rPr>
                <w:rFonts w:hint="eastAsia" w:ascii="仿宋_GB2312" w:hAnsi="仿宋_GB2312" w:eastAsia="仿宋_GB2312"/>
                <w:spacing w:val="-2"/>
                <w:sz w:val="24"/>
              </w:rPr>
              <w:t>5</w:t>
            </w:r>
            <w:r>
              <w:rPr>
                <w:rFonts w:ascii="仿宋_GB2312" w:hAnsi="仿宋_GB2312" w:eastAsia="仿宋_GB2312"/>
                <w:spacing w:val="-2"/>
                <w:sz w:val="24"/>
              </w:rPr>
              <w:t>%</w:t>
            </w:r>
          </w:p>
        </w:tc>
        <w:tc>
          <w:tcPr>
            <w:tcW w:w="422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ind w:firstLine="0"/>
              <w:jc w:val="center"/>
              <w:textAlignment w:val="auto"/>
              <w:rPr>
                <w:rFonts w:ascii="仿宋_GB2312" w:hAnsi="仿宋_GB2312" w:eastAsia="仿宋_GB2312"/>
                <w:spacing w:val="-2"/>
                <w:sz w:val="24"/>
              </w:rPr>
            </w:pPr>
            <w:r>
              <w:rPr>
                <w:rFonts w:hint="eastAsia" w:ascii="仿宋_GB2312" w:hAnsi="仿宋_GB2312" w:eastAsia="仿宋_GB2312"/>
                <w:spacing w:val="-2"/>
                <w:sz w:val="24"/>
                <w:szCs w:val="22"/>
              </w:rPr>
              <w:t>公平竞赛，遵守赛场纪律，服从裁判</w:t>
            </w:r>
          </w:p>
        </w:tc>
        <w:tc>
          <w:tcPr>
            <w:tcW w:w="851" w:type="dxa"/>
            <w:tcBorders>
              <w:top w:val="single" w:color="000000" w:sz="4" w:space="0"/>
              <w:left w:val="single" w:color="000000" w:sz="4" w:space="0"/>
              <w:bottom w:val="single" w:color="000000" w:sz="4" w:space="0"/>
              <w:right w:val="single" w:color="000000" w:sz="12"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ind w:firstLine="0"/>
              <w:jc w:val="center"/>
              <w:textAlignment w:val="auto"/>
              <w:rPr>
                <w:rFonts w:hint="eastAsia" w:ascii="仿宋_GB2312" w:hAnsi="仿宋_GB2312" w:eastAsia="仿宋_GB2312"/>
                <w:spacing w:val="-2"/>
                <w:sz w:val="24"/>
              </w:rPr>
            </w:pPr>
            <w:r>
              <w:rPr>
                <w:rFonts w:hint="eastAsia" w:ascii="仿宋_GB2312" w:hAnsi="仿宋_GB2312" w:eastAsia="仿宋_GB2312"/>
                <w:spacing w:val="-2"/>
                <w:sz w:val="24"/>
              </w:rPr>
              <w:t>1</w:t>
            </w:r>
          </w:p>
        </w:tc>
      </w:tr>
      <w:tr>
        <w:tblPrEx>
          <w:tblLayout w:type="fixed"/>
          <w:tblCellMar>
            <w:top w:w="0" w:type="dxa"/>
            <w:left w:w="108" w:type="dxa"/>
            <w:bottom w:w="0" w:type="dxa"/>
            <w:right w:w="108" w:type="dxa"/>
          </w:tblCellMar>
        </w:tblPrEx>
        <w:trPr>
          <w:trHeight w:val="567" w:hRule="exact"/>
        </w:trPr>
        <w:tc>
          <w:tcPr>
            <w:tcW w:w="709" w:type="dxa"/>
            <w:vMerge w:val="continue"/>
            <w:tcBorders>
              <w:left w:val="single" w:color="000000" w:sz="12"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ind w:firstLine="0"/>
              <w:jc w:val="center"/>
              <w:textAlignment w:val="auto"/>
              <w:rPr>
                <w:rFonts w:ascii="仿宋_GB2312" w:hAnsi="仿宋_GB2312" w:eastAsia="仿宋_GB2312"/>
                <w:spacing w:val="-2"/>
                <w:sz w:val="24"/>
              </w:rPr>
            </w:pPr>
          </w:p>
        </w:tc>
        <w:tc>
          <w:tcPr>
            <w:tcW w:w="1877" w:type="dxa"/>
            <w:vMerge w:val="continue"/>
            <w:tcBorders>
              <w:left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ind w:firstLine="0"/>
              <w:jc w:val="center"/>
              <w:textAlignment w:val="auto"/>
              <w:rPr>
                <w:rFonts w:ascii="仿宋_GB2312" w:hAnsi="仿宋_GB2312" w:eastAsia="仿宋_GB2312"/>
                <w:spacing w:val="-2"/>
                <w:sz w:val="24"/>
              </w:rPr>
            </w:pPr>
          </w:p>
        </w:tc>
        <w:tc>
          <w:tcPr>
            <w:tcW w:w="705" w:type="dxa"/>
            <w:vMerge w:val="continue"/>
            <w:tcBorders>
              <w:left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ind w:firstLine="0"/>
              <w:jc w:val="center"/>
              <w:textAlignment w:val="auto"/>
              <w:rPr>
                <w:rFonts w:ascii="仿宋_GB2312" w:hAnsi="仿宋_GB2312" w:eastAsia="仿宋_GB2312"/>
                <w:spacing w:val="-2"/>
                <w:sz w:val="24"/>
              </w:rPr>
            </w:pPr>
          </w:p>
        </w:tc>
        <w:tc>
          <w:tcPr>
            <w:tcW w:w="422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ind w:firstLine="0"/>
              <w:jc w:val="center"/>
              <w:textAlignment w:val="auto"/>
              <w:rPr>
                <w:rFonts w:ascii="仿宋_GB2312" w:hAnsi="仿宋_GB2312" w:eastAsia="仿宋_GB2312"/>
                <w:spacing w:val="-2"/>
                <w:sz w:val="24"/>
              </w:rPr>
            </w:pPr>
            <w:r>
              <w:rPr>
                <w:rFonts w:hint="eastAsia" w:ascii="仿宋_GB2312" w:hAnsi="仿宋_GB2312" w:eastAsia="仿宋_GB2312"/>
                <w:spacing w:val="-2"/>
                <w:sz w:val="24"/>
                <w:szCs w:val="22"/>
              </w:rPr>
              <w:t>现场工具摆放整齐</w:t>
            </w:r>
          </w:p>
        </w:tc>
        <w:tc>
          <w:tcPr>
            <w:tcW w:w="851" w:type="dxa"/>
            <w:tcBorders>
              <w:top w:val="single" w:color="000000" w:sz="4" w:space="0"/>
              <w:left w:val="single" w:color="000000" w:sz="4" w:space="0"/>
              <w:bottom w:val="single" w:color="000000" w:sz="4" w:space="0"/>
              <w:right w:val="single" w:color="000000" w:sz="12"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ind w:firstLine="0"/>
              <w:jc w:val="center"/>
              <w:textAlignment w:val="auto"/>
              <w:rPr>
                <w:rFonts w:hint="eastAsia" w:ascii="仿宋_GB2312" w:hAnsi="仿宋_GB2312" w:eastAsia="仿宋_GB2312"/>
                <w:spacing w:val="-2"/>
                <w:sz w:val="24"/>
              </w:rPr>
            </w:pPr>
            <w:r>
              <w:rPr>
                <w:rFonts w:hint="eastAsia" w:ascii="仿宋_GB2312" w:hAnsi="仿宋_GB2312" w:eastAsia="仿宋_GB2312"/>
                <w:spacing w:val="-2"/>
                <w:sz w:val="24"/>
              </w:rPr>
              <w:t>1</w:t>
            </w:r>
          </w:p>
        </w:tc>
      </w:tr>
      <w:tr>
        <w:tblPrEx>
          <w:tblLayout w:type="fixed"/>
          <w:tblCellMar>
            <w:top w:w="0" w:type="dxa"/>
            <w:left w:w="108" w:type="dxa"/>
            <w:bottom w:w="0" w:type="dxa"/>
            <w:right w:w="108" w:type="dxa"/>
          </w:tblCellMar>
        </w:tblPrEx>
        <w:trPr>
          <w:trHeight w:val="567" w:hRule="exact"/>
        </w:trPr>
        <w:tc>
          <w:tcPr>
            <w:tcW w:w="709" w:type="dxa"/>
            <w:vMerge w:val="continue"/>
            <w:tcBorders>
              <w:left w:val="single" w:color="000000" w:sz="12"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ind w:firstLine="0"/>
              <w:jc w:val="center"/>
              <w:textAlignment w:val="auto"/>
              <w:rPr>
                <w:rFonts w:ascii="仿宋_GB2312" w:hAnsi="仿宋_GB2312" w:eastAsia="仿宋_GB2312"/>
                <w:spacing w:val="-2"/>
                <w:sz w:val="24"/>
              </w:rPr>
            </w:pPr>
          </w:p>
        </w:tc>
        <w:tc>
          <w:tcPr>
            <w:tcW w:w="1877" w:type="dxa"/>
            <w:vMerge w:val="continue"/>
            <w:tcBorders>
              <w:left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ind w:firstLine="0"/>
              <w:jc w:val="center"/>
              <w:textAlignment w:val="auto"/>
              <w:rPr>
                <w:rFonts w:ascii="仿宋_GB2312" w:hAnsi="仿宋_GB2312" w:eastAsia="仿宋_GB2312"/>
                <w:spacing w:val="-2"/>
                <w:sz w:val="24"/>
              </w:rPr>
            </w:pPr>
          </w:p>
        </w:tc>
        <w:tc>
          <w:tcPr>
            <w:tcW w:w="705" w:type="dxa"/>
            <w:vMerge w:val="continue"/>
            <w:tcBorders>
              <w:left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ind w:firstLine="0"/>
              <w:jc w:val="center"/>
              <w:textAlignment w:val="auto"/>
              <w:rPr>
                <w:rFonts w:ascii="仿宋_GB2312" w:hAnsi="仿宋_GB2312" w:eastAsia="仿宋_GB2312"/>
                <w:spacing w:val="-2"/>
                <w:sz w:val="24"/>
              </w:rPr>
            </w:pPr>
          </w:p>
        </w:tc>
        <w:tc>
          <w:tcPr>
            <w:tcW w:w="422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ind w:firstLine="0"/>
              <w:jc w:val="center"/>
              <w:textAlignment w:val="auto"/>
              <w:rPr>
                <w:rFonts w:ascii="仿宋_GB2312" w:hAnsi="仿宋_GB2312" w:eastAsia="仿宋_GB2312"/>
                <w:spacing w:val="-2"/>
                <w:sz w:val="24"/>
              </w:rPr>
            </w:pPr>
            <w:r>
              <w:rPr>
                <w:rFonts w:hint="eastAsia" w:ascii="仿宋_GB2312" w:hAnsi="仿宋_GB2312" w:eastAsia="仿宋_GB2312"/>
                <w:spacing w:val="-2"/>
                <w:sz w:val="24"/>
              </w:rPr>
              <w:t>场地清洁，现场安全、文明生产</w:t>
            </w:r>
          </w:p>
        </w:tc>
        <w:tc>
          <w:tcPr>
            <w:tcW w:w="851" w:type="dxa"/>
            <w:tcBorders>
              <w:top w:val="single" w:color="000000" w:sz="4" w:space="0"/>
              <w:left w:val="single" w:color="000000" w:sz="4" w:space="0"/>
              <w:bottom w:val="single" w:color="000000" w:sz="4" w:space="0"/>
              <w:right w:val="single" w:color="000000" w:sz="12"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ind w:firstLine="0"/>
              <w:jc w:val="center"/>
              <w:textAlignment w:val="auto"/>
              <w:rPr>
                <w:rFonts w:ascii="仿宋_GB2312" w:hAnsi="仿宋_GB2312" w:eastAsia="仿宋_GB2312"/>
                <w:spacing w:val="-2"/>
                <w:sz w:val="24"/>
              </w:rPr>
            </w:pPr>
            <w:r>
              <w:rPr>
                <w:rFonts w:hint="eastAsia" w:ascii="仿宋_GB2312" w:hAnsi="仿宋_GB2312" w:eastAsia="仿宋_GB2312"/>
                <w:spacing w:val="-2"/>
                <w:sz w:val="24"/>
              </w:rPr>
              <w:t>1</w:t>
            </w:r>
          </w:p>
        </w:tc>
      </w:tr>
      <w:tr>
        <w:tblPrEx>
          <w:tblLayout w:type="fixed"/>
          <w:tblCellMar>
            <w:top w:w="0" w:type="dxa"/>
            <w:left w:w="108" w:type="dxa"/>
            <w:bottom w:w="0" w:type="dxa"/>
            <w:right w:w="108" w:type="dxa"/>
          </w:tblCellMar>
        </w:tblPrEx>
        <w:trPr>
          <w:trHeight w:val="567" w:hRule="exact"/>
        </w:trPr>
        <w:tc>
          <w:tcPr>
            <w:tcW w:w="709" w:type="dxa"/>
            <w:vMerge w:val="continue"/>
            <w:tcBorders>
              <w:left w:val="single" w:color="000000" w:sz="12" w:space="0"/>
              <w:bottom w:val="single" w:color="000000" w:sz="12"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ind w:firstLine="0"/>
              <w:jc w:val="center"/>
              <w:textAlignment w:val="auto"/>
              <w:rPr>
                <w:rFonts w:ascii="仿宋_GB2312" w:hAnsi="仿宋_GB2312" w:eastAsia="仿宋_GB2312"/>
                <w:spacing w:val="-2"/>
                <w:sz w:val="24"/>
              </w:rPr>
            </w:pPr>
          </w:p>
        </w:tc>
        <w:tc>
          <w:tcPr>
            <w:tcW w:w="1877" w:type="dxa"/>
            <w:vMerge w:val="continue"/>
            <w:tcBorders>
              <w:left w:val="single" w:color="000000" w:sz="4" w:space="0"/>
              <w:bottom w:val="single" w:color="000000" w:sz="12"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ind w:firstLine="0"/>
              <w:jc w:val="center"/>
              <w:textAlignment w:val="auto"/>
              <w:rPr>
                <w:rFonts w:ascii="仿宋_GB2312" w:hAnsi="仿宋_GB2312" w:eastAsia="仿宋_GB2312"/>
                <w:spacing w:val="-2"/>
                <w:sz w:val="24"/>
              </w:rPr>
            </w:pPr>
          </w:p>
        </w:tc>
        <w:tc>
          <w:tcPr>
            <w:tcW w:w="705" w:type="dxa"/>
            <w:vMerge w:val="continue"/>
            <w:tcBorders>
              <w:left w:val="single" w:color="000000" w:sz="4" w:space="0"/>
              <w:bottom w:val="single" w:color="000000" w:sz="12"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ind w:firstLine="0"/>
              <w:jc w:val="center"/>
              <w:textAlignment w:val="auto"/>
              <w:rPr>
                <w:rFonts w:ascii="仿宋_GB2312" w:hAnsi="仿宋_GB2312" w:eastAsia="仿宋_GB2312"/>
                <w:spacing w:val="-2"/>
                <w:sz w:val="24"/>
              </w:rPr>
            </w:pPr>
          </w:p>
        </w:tc>
        <w:tc>
          <w:tcPr>
            <w:tcW w:w="4222" w:type="dxa"/>
            <w:tcBorders>
              <w:top w:val="single" w:color="000000" w:sz="4" w:space="0"/>
              <w:left w:val="single" w:color="000000" w:sz="4" w:space="0"/>
              <w:bottom w:val="single" w:color="000000" w:sz="12"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ind w:firstLine="0"/>
              <w:jc w:val="center"/>
              <w:textAlignment w:val="auto"/>
              <w:rPr>
                <w:rFonts w:ascii="仿宋_GB2312" w:hAnsi="仿宋_GB2312" w:eastAsia="仿宋_GB2312"/>
                <w:spacing w:val="-2"/>
                <w:sz w:val="24"/>
              </w:rPr>
            </w:pPr>
            <w:r>
              <w:rPr>
                <w:rFonts w:hint="eastAsia" w:ascii="仿宋_GB2312" w:hAnsi="仿宋_GB2312" w:eastAsia="仿宋_GB2312"/>
                <w:spacing w:val="-2"/>
                <w:sz w:val="24"/>
              </w:rPr>
              <w:t>遵守机床安全操作规程</w:t>
            </w:r>
          </w:p>
        </w:tc>
        <w:tc>
          <w:tcPr>
            <w:tcW w:w="851" w:type="dxa"/>
            <w:tcBorders>
              <w:top w:val="single" w:color="000000" w:sz="4" w:space="0"/>
              <w:left w:val="single" w:color="000000" w:sz="4" w:space="0"/>
              <w:bottom w:val="single" w:color="000000" w:sz="12" w:space="0"/>
              <w:right w:val="single" w:color="000000" w:sz="12"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ind w:firstLine="0"/>
              <w:jc w:val="center"/>
              <w:textAlignment w:val="auto"/>
              <w:rPr>
                <w:rFonts w:ascii="仿宋_GB2312" w:hAnsi="仿宋_GB2312" w:eastAsia="仿宋_GB2312"/>
                <w:spacing w:val="-2"/>
                <w:sz w:val="24"/>
              </w:rPr>
            </w:pPr>
            <w:r>
              <w:rPr>
                <w:rFonts w:hint="eastAsia" w:ascii="仿宋_GB2312" w:hAnsi="仿宋_GB2312" w:eastAsia="仿宋_GB2312"/>
                <w:spacing w:val="-2"/>
                <w:sz w:val="24"/>
              </w:rPr>
              <w:t>2</w:t>
            </w:r>
          </w:p>
        </w:tc>
      </w:tr>
    </w:tbl>
    <w:p>
      <w:pPr>
        <w:snapToGrid w:val="0"/>
        <w:spacing w:line="560" w:lineRule="exact"/>
        <w:ind w:firstLine="480"/>
        <w:jc w:val="center"/>
        <w:rPr>
          <w:rFonts w:hint="eastAsia" w:ascii="仿宋_GB2312" w:hAnsi="仿宋_GB2312" w:eastAsia="仿宋_GB2312"/>
          <w:sz w:val="24"/>
        </w:rPr>
      </w:pPr>
      <w:r>
        <w:rPr>
          <w:rFonts w:hint="eastAsia" w:ascii="仿宋_GB2312" w:hAnsi="仿宋_GB2312" w:eastAsia="仿宋_GB2312"/>
          <w:sz w:val="24"/>
        </w:rPr>
        <w:t>比赛现场完成工作任务评分标准表</w:t>
      </w:r>
    </w:p>
    <w:p>
      <w:pPr>
        <w:pStyle w:val="3"/>
        <w:snapToGrid w:val="0"/>
        <w:spacing w:line="540" w:lineRule="exact"/>
        <w:ind w:firstLine="643" w:firstLineChars="200"/>
      </w:pPr>
      <w:r>
        <w:rPr>
          <w:rFonts w:hint="eastAsia"/>
        </w:rPr>
        <w:t>（三）奖项设置</w:t>
      </w:r>
    </w:p>
    <w:p>
      <w:pPr>
        <w:spacing w:line="240" w:lineRule="auto"/>
        <w:ind w:firstLine="600" w:firstLineChars="200"/>
        <w:jc w:val="left"/>
        <w:outlineLvl w:val="2"/>
        <w:rPr>
          <w:rFonts w:hint="eastAsia" w:ascii="仿宋" w:hAnsi="仿宋" w:eastAsia="仿宋" w:cs="仿宋"/>
          <w:sz w:val="30"/>
          <w:szCs w:val="30"/>
        </w:rPr>
      </w:pPr>
      <w:r>
        <w:rPr>
          <w:rFonts w:hint="eastAsia" w:ascii="仿宋" w:hAnsi="仿宋" w:eastAsia="仿宋" w:cs="仿宋"/>
          <w:sz w:val="30"/>
          <w:szCs w:val="30"/>
        </w:rPr>
        <w:t>1.赛项设团体一、二、三等奖。按照竞赛总成绩由高到低排序，以实际参赛队总数为基数，一、二、三等奖获奖比例分别为10%、25%、35%（小数点后四舍五入）。当总分相同时，取并列名次。</w:t>
      </w:r>
    </w:p>
    <w:p>
      <w:pPr>
        <w:pStyle w:val="2"/>
        <w:snapToGrid w:val="0"/>
        <w:spacing w:line="540" w:lineRule="exact"/>
        <w:ind w:firstLine="643" w:firstLineChars="200"/>
      </w:pPr>
      <w:r>
        <w:rPr>
          <w:rFonts w:hint="eastAsia"/>
        </w:rPr>
        <w:t>九、赛项安全</w:t>
      </w:r>
    </w:p>
    <w:p>
      <w:pPr>
        <w:snapToGrid/>
        <w:spacing w:line="240" w:lineRule="auto"/>
        <w:ind w:firstLine="600" w:firstLineChars="200"/>
        <w:jc w:val="left"/>
        <w:rPr>
          <w:rFonts w:hint="eastAsia" w:ascii="仿宋" w:hAnsi="仿宋" w:eastAsia="仿宋" w:cs="仿宋"/>
          <w:kern w:val="2"/>
          <w:sz w:val="30"/>
          <w:szCs w:val="30"/>
        </w:rPr>
      </w:pPr>
      <w:r>
        <w:rPr>
          <w:rFonts w:hint="eastAsia" w:ascii="仿宋" w:hAnsi="仿宋" w:eastAsia="仿宋" w:cs="仿宋"/>
          <w:kern w:val="2"/>
          <w:sz w:val="30"/>
          <w:szCs w:val="30"/>
        </w:rPr>
        <w:t>（一）赛场所有人员（赛场管理与组织人员、裁判员、参赛员以及观摩人员）不得在竞赛现场内外吸烟，不听劝阻者给予通报批评或清退竞赛现场，造成严重后果的将依法处理。</w:t>
      </w:r>
    </w:p>
    <w:p>
      <w:pPr>
        <w:snapToGrid/>
        <w:spacing w:line="240" w:lineRule="auto"/>
        <w:ind w:firstLine="600" w:firstLineChars="200"/>
        <w:jc w:val="left"/>
        <w:rPr>
          <w:rFonts w:hint="eastAsia" w:ascii="仿宋" w:hAnsi="仿宋" w:eastAsia="仿宋" w:cs="仿宋"/>
          <w:kern w:val="2"/>
          <w:sz w:val="30"/>
          <w:szCs w:val="30"/>
        </w:rPr>
      </w:pPr>
      <w:r>
        <w:rPr>
          <w:rFonts w:hint="eastAsia" w:ascii="仿宋" w:hAnsi="仿宋" w:eastAsia="仿宋" w:cs="仿宋"/>
          <w:kern w:val="2"/>
          <w:sz w:val="30"/>
          <w:szCs w:val="30"/>
        </w:rPr>
        <w:t>（二）未经允许不得使用和移动竞赛场内的任何设施设备（包括消防器材等），工具使用后放回原处。</w:t>
      </w:r>
    </w:p>
    <w:p>
      <w:pPr>
        <w:snapToGrid/>
        <w:spacing w:line="240" w:lineRule="auto"/>
        <w:ind w:firstLine="600" w:firstLineChars="200"/>
        <w:jc w:val="left"/>
        <w:rPr>
          <w:rFonts w:ascii="仿宋_GB2312" w:hAnsi="仿宋_GB2312" w:eastAsia="仿宋_GB2312" w:cs="仿宋_GB2312"/>
          <w:kern w:val="0"/>
          <w:sz w:val="30"/>
          <w:szCs w:val="30"/>
        </w:rPr>
      </w:pPr>
      <w:r>
        <w:rPr>
          <w:rFonts w:hint="eastAsia" w:ascii="仿宋" w:hAnsi="仿宋" w:eastAsia="仿宋" w:cs="仿宋"/>
          <w:kern w:val="2"/>
          <w:sz w:val="30"/>
          <w:szCs w:val="30"/>
        </w:rPr>
        <w:t>（三）选手在竞赛中必须遵守赛场的各项规章制度和操作规程，安全、合理的使用各种设施设备和</w:t>
      </w:r>
      <w:r>
        <w:rPr>
          <w:rFonts w:hint="eastAsia" w:ascii="仿宋_GB2312" w:hAnsi="仿宋_GB2312" w:eastAsia="仿宋_GB2312" w:cs="仿宋_GB2312"/>
          <w:kern w:val="0"/>
          <w:sz w:val="30"/>
          <w:szCs w:val="30"/>
        </w:rPr>
        <w:t>工具，出现严重违章操作加工设备的，裁判视情节轻重进行批评和终止竞赛。</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（四）选手参加实际操作竞赛前，应由参赛校进行安全教育。竞赛中如发现问题应及时解决，无法解决的问题应及时向裁判员报告，裁判员视情况予以判定，并协调处理。</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（五）参赛选手不得触动非竞赛用仪器设备，对竞赛仪器设备造成损坏，由当事人单位承担赔偿责任（视情节而定），并通报批评；参赛选手若出现恶意破坏仪器设备等情节严重者将依法处理。</w:t>
      </w:r>
    </w:p>
    <w:p>
      <w:pPr>
        <w:pStyle w:val="4"/>
        <w:spacing w:line="540" w:lineRule="exact"/>
        <w:ind w:firstLine="585"/>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六）参赛队竞赛期间要求自行配备工作服、安全帽和绝缘鞋等符合安全施工要求的穿戴，并着承办单位统一提供的大赛马甲。安全帽、工装裤和绝缘鞋不允许出现院校名称，以及其他与院校有关标识，具体由裁判决定是否符合竞赛使用，如违反规定视为违规处理。</w:t>
      </w:r>
    </w:p>
    <w:p>
      <w:pPr>
        <w:pStyle w:val="2"/>
        <w:snapToGrid w:val="0"/>
        <w:spacing w:line="540" w:lineRule="exact"/>
        <w:ind w:firstLine="643" w:firstLineChars="200"/>
        <w:rPr>
          <w:rFonts w:hint="eastAsia"/>
        </w:rPr>
      </w:pPr>
      <w:r>
        <w:rPr>
          <w:rFonts w:hint="eastAsia"/>
        </w:rPr>
        <w:t>十、竞赛须知</w:t>
      </w:r>
    </w:p>
    <w:p>
      <w:pPr>
        <w:pStyle w:val="3"/>
        <w:spacing w:line="540" w:lineRule="exact"/>
        <w:ind w:firstLine="585"/>
        <w:rPr>
          <w:rFonts w:hint="eastAsia"/>
        </w:rPr>
      </w:pPr>
      <w:r>
        <w:rPr>
          <w:rFonts w:hint="eastAsia"/>
        </w:rPr>
        <w:t>（一）参赛队须知</w:t>
      </w:r>
    </w:p>
    <w:p>
      <w:pPr>
        <w:pStyle w:val="4"/>
        <w:spacing w:line="540" w:lineRule="exact"/>
        <w:ind w:firstLine="585"/>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参赛队在参赛期间应注意人身安全，并建议参赛队中的每位参赛学生赛前购买保险。</w:t>
      </w:r>
    </w:p>
    <w:p>
      <w:pPr>
        <w:pStyle w:val="3"/>
        <w:spacing w:line="540" w:lineRule="exact"/>
        <w:ind w:firstLine="585"/>
        <w:rPr>
          <w:rFonts w:hint="eastAsia"/>
        </w:rPr>
      </w:pPr>
      <w:r>
        <w:rPr>
          <w:rFonts w:hint="eastAsia"/>
        </w:rPr>
        <w:t>（二）指导教师须知</w:t>
      </w:r>
    </w:p>
    <w:p>
      <w:pPr>
        <w:pStyle w:val="4"/>
        <w:spacing w:line="540" w:lineRule="exact"/>
        <w:ind w:firstLine="585"/>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1.比赛过程中，除选手、执行裁判员、现场工作人员和经批准的人员外，其他人员一律不得进入比赛现场；比赛结束后，参赛人员应根据指令及时退出比赛现场，对不听劝阻、无理取闹者追究责任，并通报批评。</w:t>
      </w:r>
    </w:p>
    <w:p>
      <w:pPr>
        <w:pStyle w:val="4"/>
        <w:spacing w:line="540" w:lineRule="exact"/>
        <w:ind w:firstLine="585"/>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2.选手参赛期间，指导教师应确保学生的人身安全；如遇紧急情况，应及时与主办方和所在院校报告，并听从工作人员的现场安排。</w:t>
      </w:r>
    </w:p>
    <w:p>
      <w:pPr>
        <w:pStyle w:val="3"/>
        <w:spacing w:line="540" w:lineRule="exact"/>
        <w:ind w:firstLine="585"/>
        <w:rPr>
          <w:rFonts w:hint="eastAsia"/>
        </w:rPr>
      </w:pPr>
      <w:r>
        <w:rPr>
          <w:rFonts w:hint="eastAsia"/>
        </w:rPr>
        <w:t>（三）参赛选手须知</w:t>
      </w:r>
    </w:p>
    <w:p>
      <w:pPr>
        <w:pStyle w:val="4"/>
        <w:spacing w:line="540" w:lineRule="exact"/>
        <w:ind w:firstLine="585"/>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1.参赛选手应遵守比赛规则，尊重裁判、赛场工作人员和其他参赛选手，自觉遵守赛场秩序，服从管理。不得辱骂他人，不得打架斗殴。</w:t>
      </w:r>
    </w:p>
    <w:p>
      <w:pPr>
        <w:pStyle w:val="4"/>
        <w:spacing w:line="540" w:lineRule="exact"/>
        <w:ind w:firstLine="585"/>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2.参赛选手应佩戴参赛证，带齐身份证、注册的学生证。在赛场的着装，应符合职业要求。在赛场的表现，应体现自己良好的职业习惯和职业素养。</w:t>
      </w:r>
    </w:p>
    <w:p>
      <w:pPr>
        <w:pStyle w:val="4"/>
        <w:spacing w:line="540" w:lineRule="exact"/>
        <w:ind w:firstLine="585"/>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3.选手在竞赛过程中不得擅自离开赛场。如有特殊情况，须经裁判人员同意。选手休息、饮水、上洗手间等不安排专门用时，统一计在竞赛时间内。竞赛计时以赛场设置的时钟为准。</w:t>
      </w:r>
    </w:p>
    <w:p>
      <w:pPr>
        <w:pStyle w:val="4"/>
        <w:spacing w:line="540" w:lineRule="exact"/>
        <w:ind w:firstLine="585"/>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4.竞赛期间，选手不得将手机等通信工具带入赛场，未经检验的工具、电子存储器件，一律不能进入赛场。非同组选手之间不得以任何方式传递信息，如传递纸条、用手势表达信息、用暗语交换信息等。</w:t>
      </w:r>
    </w:p>
    <w:p>
      <w:pPr>
        <w:pStyle w:val="4"/>
        <w:spacing w:line="540" w:lineRule="exact"/>
        <w:ind w:firstLine="585"/>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5.爱护赛场提供的器材，不得故意损坏设备和仪器。比赛中参赛选手须严格遵守相关操作规程，确保人身及设备安全，并接受裁判员的监督和警示。因工具选择或使用不当，造成零件损坏、工伤事故或影响他人比赛，要酌情扣分。</w:t>
      </w:r>
    </w:p>
    <w:p>
      <w:pPr>
        <w:pStyle w:val="4"/>
        <w:spacing w:line="540" w:lineRule="exact"/>
        <w:ind w:firstLine="585"/>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6.遇事应先举手示意，并与裁判人员协商，按裁判人员的意见办理。比赛过程中需要去洗手间，应报告现场裁判，由裁判或赛场工作人员陪同离开赛场。</w:t>
      </w:r>
    </w:p>
    <w:p>
      <w:pPr>
        <w:pStyle w:val="4"/>
        <w:spacing w:line="540" w:lineRule="exact"/>
        <w:ind w:firstLine="585"/>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7.完成竞赛任务后，不得与其他选手讨论，不得旁窥其他选手的操作。</w:t>
      </w:r>
    </w:p>
    <w:p>
      <w:pPr>
        <w:pStyle w:val="4"/>
        <w:spacing w:line="540" w:lineRule="exact"/>
        <w:ind w:firstLine="585"/>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8.不乱摆放工具，不乱丢杂物，完成竞赛任务后清洁赛位、工具、线头、废弃物品，不得遗留在赛位上。</w:t>
      </w:r>
    </w:p>
    <w:p>
      <w:pPr>
        <w:pStyle w:val="4"/>
        <w:spacing w:line="540" w:lineRule="exact"/>
        <w:ind w:firstLine="585"/>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9.完成赛项任务要在比赛结束前离开赛场的参赛选手，需同现场裁判示意，在赛场记录上填写离场时间并签赛位号确认后，方可离开赛场到指定区域等候，离开赛场后不可再次进入。未完成工作任务，因病或其他原因需要终止比赛离开赛场，需经裁判长同意，在赛场记录表的相应栏目填写离场原因、离场时间并签赛位号确认后，方可离开；离开后，不能再次进入赛场。</w:t>
      </w:r>
    </w:p>
    <w:p>
      <w:pPr>
        <w:pStyle w:val="4"/>
        <w:spacing w:line="540" w:lineRule="exact"/>
        <w:ind w:firstLine="585"/>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10.裁判发出停止比赛的指令后，选手应立即停止操作，在现场裁判的指挥下离开赛场到达指定的区域等候评分。</w:t>
      </w:r>
    </w:p>
    <w:p>
      <w:pPr>
        <w:pStyle w:val="4"/>
        <w:spacing w:line="540" w:lineRule="exact"/>
        <w:ind w:firstLine="585"/>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11.如对裁判员的执裁有异议，可在2小时内由领队向大赛仲裁以书面形式提出申述。</w:t>
      </w:r>
    </w:p>
    <w:p>
      <w:pPr>
        <w:pStyle w:val="3"/>
        <w:spacing w:line="540" w:lineRule="exact"/>
        <w:ind w:firstLine="585"/>
        <w:rPr>
          <w:rFonts w:hint="eastAsia"/>
        </w:rPr>
      </w:pPr>
      <w:r>
        <w:rPr>
          <w:rFonts w:hint="eastAsia"/>
        </w:rPr>
        <w:t>（四）工作人员须知</w:t>
      </w:r>
    </w:p>
    <w:p>
      <w:pPr>
        <w:pStyle w:val="4"/>
        <w:spacing w:line="540" w:lineRule="exact"/>
        <w:ind w:firstLine="585"/>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1.工作人员必须服从赛项组委会统一指挥，佩戴工作人员标识，认真履行职责，做好服务赛场、服务选手的工作。</w:t>
      </w:r>
    </w:p>
    <w:p>
      <w:pPr>
        <w:pStyle w:val="4"/>
        <w:spacing w:line="540" w:lineRule="exact"/>
        <w:ind w:firstLine="585"/>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2.工作人员按照分工准时上岗，不得擅自离岗，应认真履行各自的工作职责，保证竞赛工作的顺利进行。</w:t>
      </w:r>
    </w:p>
    <w:p>
      <w:pPr>
        <w:pStyle w:val="4"/>
        <w:spacing w:line="540" w:lineRule="exact"/>
        <w:ind w:firstLine="585"/>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3.工作人员应在规定的区域内工作，未经许可，不得擅自进入竞赛场地。如需进场，需经过裁判长同意，核准证件，由裁判跟随入场。</w:t>
      </w:r>
    </w:p>
    <w:p>
      <w:pPr>
        <w:pStyle w:val="4"/>
        <w:spacing w:line="540" w:lineRule="exact"/>
        <w:ind w:firstLine="585"/>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4.如遇突发事件，须及时向裁判长报告，同时做好疏导工作，避免重大事故发生，确保竞赛圆满成功。</w:t>
      </w:r>
    </w:p>
    <w:p>
      <w:pPr>
        <w:pStyle w:val="4"/>
        <w:spacing w:line="540" w:lineRule="exact"/>
        <w:ind w:firstLine="585"/>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5.任何人不得以任何方式暗示、指导、帮助参赛选手，对造成后果的，视情节轻重酌情扣除参赛选手成绩。如造成竞赛程序无法继续进行，由赛项组委会视情节轻重，给予通报批评或停止工作，并通知其所在单位做出相应处理。</w:t>
      </w:r>
    </w:p>
    <w:p>
      <w:pPr>
        <w:pStyle w:val="4"/>
        <w:spacing w:line="540" w:lineRule="exact"/>
        <w:ind w:firstLine="585"/>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6.所有人员在赛场内不得喧哗，不得有影响其他选手完成工作任务的行为。</w:t>
      </w:r>
    </w:p>
    <w:p>
      <w:pPr>
        <w:pStyle w:val="4"/>
        <w:spacing w:line="540" w:lineRule="exact"/>
        <w:ind w:firstLine="585"/>
        <w:rPr>
          <w:rFonts w:ascii="Arial Narrow" w:hAnsi="Arial Narrow" w:eastAsia="仿宋_GB2312" w:cs="Arial"/>
          <w:sz w:val="30"/>
          <w:szCs w:val="30"/>
        </w:rPr>
      </w:pPr>
      <w:r>
        <w:rPr>
          <w:rFonts w:hint="eastAsia" w:ascii="仿宋_GB2312" w:hAnsi="仿宋_GB2312" w:eastAsia="仿宋_GB2312" w:cs="仿宋_GB2312"/>
          <w:kern w:val="0"/>
          <w:sz w:val="30"/>
          <w:szCs w:val="30"/>
        </w:rPr>
        <w:t>7.工作人员需认真做好赛场服务，并签名确认自己的责任。</w:t>
      </w:r>
    </w:p>
    <w:p>
      <w:pPr>
        <w:pStyle w:val="2"/>
        <w:snapToGrid w:val="0"/>
        <w:spacing w:line="540" w:lineRule="exact"/>
        <w:ind w:firstLine="643" w:firstLineChars="200"/>
      </w:pPr>
      <w:r>
        <w:rPr>
          <w:rFonts w:hint="eastAsia"/>
        </w:rPr>
        <w:t>十一、申诉与仲裁</w:t>
      </w:r>
    </w:p>
    <w:p>
      <w:pPr>
        <w:pStyle w:val="3"/>
        <w:spacing w:line="560" w:lineRule="exact"/>
        <w:ind w:left="420" w:leftChars="200"/>
      </w:pPr>
      <w:r>
        <w:rPr>
          <w:rFonts w:hint="eastAsia"/>
        </w:rPr>
        <w:t>（一）申诉</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1.参赛队对不符合竞赛规定的设备、工具、软件，有失公正的评判、奖励，以及对工作人员的违规行为等均可提出申诉。</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2.申诉应在竞赛结束后2小时内提出，超过时效将不予受理。申诉时，应按照规定的程序由参赛队向相应赛项仲裁工作组递交书面申诉报告。报告应对申诉事件的现象、发生的时间、涉及到的人员、申诉依据与理由等如实叙述。事实依据不充分、仅凭主观臆断的申诉不予受理,但须说明原因。</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3.赛项仲裁工作组收到申诉报告后，应根据申诉事由进行审查，6小时内书面告知申诉处理结果。受理申诉的，须通知申诉方举办听证会的时间和地点。</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4.申诉人不得无故拒收处理结果，不允许采取过激行为，否则视为放弃申诉。</w:t>
      </w:r>
    </w:p>
    <w:p>
      <w:pPr>
        <w:pStyle w:val="3"/>
        <w:snapToGrid w:val="0"/>
        <w:spacing w:line="560" w:lineRule="exact"/>
        <w:ind w:firstLine="643" w:firstLineChars="200"/>
      </w:pPr>
      <w:r>
        <w:rPr>
          <w:rFonts w:hint="eastAsia"/>
        </w:rPr>
        <w:t>（二）仲裁</w:t>
      </w:r>
    </w:p>
    <w:p>
      <w:pPr>
        <w:snapToGrid w:val="0"/>
        <w:spacing w:line="54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赛项仲裁工作组接受由代表队提出的对裁判结果的申诉。赛项仲裁工作组在接到申诉后的2小时内组织复议，并及时反馈复议结果。赛项仲裁工作组的裁定为最终裁定。</w:t>
      </w:r>
    </w:p>
    <w:p>
      <w:pPr>
        <w:pStyle w:val="2"/>
        <w:snapToGrid w:val="0"/>
        <w:spacing w:line="540" w:lineRule="exact"/>
        <w:ind w:firstLine="643" w:firstLineChars="200"/>
      </w:pPr>
      <w:r>
        <w:rPr>
          <w:rFonts w:hint="eastAsia"/>
        </w:rPr>
        <w:t>十二、大赛违规处理规定</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（一）发现参赛选手不符合报名规定条件的、冒名顶替或弄虚作假的，报经大赛组委会核实批准后，一律取消该选手参赛资格，追究有关领导责任并通报批评。</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（二）参赛选手有下列情节之一的，其相应项成绩计为零分：</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1.竞赛期间违规透漏选手或其单位任何信息者。</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2.在竞赛现场内与他人（队）交头接耳，或有偷看、暗示等作弊行为者。</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3.竞赛期间使用通讯工具与他人联系者。</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4.裁判根据大赛要求宣布竞赛结束后，仍强行作答或操作者。</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5.不服从裁判员的裁决，扰乱竞赛秩序，影响竞赛进程，情节恶劣者。</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6.其他违反大赛规则不听劝告者。</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三）参赛选手如造成竞赛使用仪器设备损坏，视情节由当事人单位承担赔偿责任；参赛选手不得触动非竞赛用仪器设备，如造成仪器设备损坏，由当事人单位承担赔偿责任并通报批评；对恶意破坏仪器设备等情节严重者，送交司法机关处理。</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（四）各代表队非参赛人员若违反大赛纪律，将视情节轻重给予警告或通报批评。</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（五）对违反大赛纪律的裁判员、工作人员，由各项目裁判长报经组委会核实批准后，视情节轻重给予警告或取消其裁判资格并通报所在单位。</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（六）非大赛工作人员和参赛选手一律不得超越赛场指定的安全范围，不听劝阻造成后果者，追求其责任，并对其所在单位进行通报批评。</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七）各参赛队（选手）须按照大赛规定和赛题要求递交竞赛成果，禁止在竞赛成果上做任何与竞赛无关的标记；除大赛规定选手填写的信息外，不能出现透露选手身份的任何信息，否则视为作弊，相应赛项的成绩为零。</w:t>
      </w:r>
    </w:p>
    <w:p>
      <w:pPr>
        <w:snapToGrid w:val="0"/>
        <w:spacing w:line="560" w:lineRule="exact"/>
        <w:ind w:firstLine="600" w:firstLineChars="200"/>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八）参赛队（选手）参加实践操作竞赛前，应穿戴好防护用品并进行安全检查，如发现问题应及时解决，无法解决的问题应及时向裁判员报告；裁判员视情况予以判定，并协调处理。未执行有关安全规程而造成不良后果，由责任方承担相应责任；对选手未发现的安全隐患或违章操作行为，裁判员应及时指出并予以纠正，酌情扣除选手实践操作成绩并记录。</w:t>
      </w:r>
    </w:p>
    <w:p>
      <w:pPr>
        <w:snapToGrid w:val="0"/>
        <w:spacing w:line="560" w:lineRule="exact"/>
        <w:ind w:firstLine="600" w:firstLineChars="200"/>
        <w:rPr>
          <w:rFonts w:hint="eastAsia" w:ascii="仿宋_GB2312" w:hAnsi="仿宋_GB2312" w:eastAsia="仿宋_GB2312" w:cs="仿宋_GB2312"/>
          <w:kern w:val="0"/>
          <w:sz w:val="30"/>
          <w:szCs w:val="30"/>
        </w:rPr>
      </w:pP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附件：</w:t>
      </w:r>
      <w:r>
        <w:rPr>
          <w:rFonts w:hint="eastAsia" w:ascii="仿宋_GB2312" w:hAnsi="仿宋_GB2312" w:eastAsia="仿宋_GB2312" w:cs="仿宋_GB2312"/>
          <w:kern w:val="0"/>
          <w:sz w:val="30"/>
          <w:szCs w:val="30"/>
          <w:lang w:eastAsia="zh-CN"/>
        </w:rPr>
        <w:t>“精雕杯”五轴数控加工技术赛项教师组</w:t>
      </w:r>
      <w:bookmarkStart w:id="1" w:name="_GoBack"/>
      <w:bookmarkEnd w:id="1"/>
      <w:r>
        <w:rPr>
          <w:rFonts w:hint="eastAsia" w:ascii="仿宋_GB2312" w:hAnsi="仿宋_GB2312" w:eastAsia="仿宋_GB2312" w:cs="仿宋_GB2312"/>
          <w:kern w:val="0"/>
          <w:sz w:val="30"/>
          <w:szCs w:val="30"/>
        </w:rPr>
        <w:t>样题</w:t>
      </w:r>
    </w:p>
    <w:sectPr>
      <w:footerReference r:id="rId4" w:type="first"/>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Arial Narrow">
    <w:altName w:val="Arial"/>
    <w:panose1 w:val="020B0506020202030204"/>
    <w:charset w:val="00"/>
    <w:family w:val="swiss"/>
    <w:pitch w:val="default"/>
    <w:sig w:usb0="00000000" w:usb1="00000000" w:usb2="00000000" w:usb3="00000000" w:csb0="0000009F" w:csb1="00000000"/>
  </w:font>
  <w:font w:name="楷体">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pict>
        <v:shape id="文本框 5" o:spid="_x0000_s1027" o:spt="202" type="#_x0000_t202" style="position:absolute;left:0pt;margin-top:0pt;height:11pt;width:4.6pt;mso-position-horizontal:center;mso-position-horizontal-relative:margin;mso-wrap-style:none;z-index:251660288;mso-width-relative:page;mso-height-relative:page;" filled="f" stroked="f" coordsize="21600,21600" o:gfxdata="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DLW7l30AAA&#10;AAIBAAAPAAAAAAAAAAEAIAAAACIAAABkcnMvZG93bnJldi54bWxQSwECFAAUAAAACACHTuJAKxuM&#10;9O0BAACzAwAADgAAAAAAAAABACAAAAAfAQAAZHJzL2Uyb0RvYy54bWxQSwUGAAAAAAYABgBZAQAA&#10;fgUAAAAA&#10;">
          <v:path/>
          <v:fill on="f" focussize="0,0"/>
          <v:stroke on="f" joinstyle="miter"/>
          <v:imagedata o:title=""/>
          <o:lock v:ext="edit"/>
          <v:textbox inset="0mm,0mm,0mm,0mm" style="mso-fit-shape-to-text:t;">
            <w:txbxContent>
              <w:p>
                <w:pPr>
                  <w:pStyle w:val="6"/>
                  <w:rPr>
                    <w:rFonts w:eastAsia="宋体"/>
                  </w:rPr>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pict>
        <v:shape id="文本框 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OqXm5zwAAAAUBAAAP&#10;AAAAAAAAAAEAIAAAACIAAABkcnMvZG93bnJldi54bWxQSwECFAAUAAAACACHTuJAY0+VFugBAAC2&#10;AwAADgAAAAAAAAABACAAAAAeAQAAZHJzL2Uyb0RvYy54bWxQSwUGAAAAAAYABgBZAQAAeAUAAAAA&#10;">
          <v:path/>
          <v:fill on="f" focussize="0,0"/>
          <v:stroke on="f" joinstyle="miter"/>
          <v:imagedata o:title=""/>
          <o:lock v:ext="edit"/>
          <v:textbox inset="0mm,0mm,0mm,0mm" style="mso-fit-shape-to-text:t;">
            <w:txbxContent>
              <w:p>
                <w:pPr>
                  <w:pStyle w:val="6"/>
                  <w:rPr>
                    <w:rFonts w:eastAsia="宋体"/>
                  </w:rP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50923C9"/>
    <w:multiLevelType w:val="singleLevel"/>
    <w:tmpl w:val="E50923C9"/>
    <w:lvl w:ilvl="0" w:tentative="0">
      <w:start w:val="1"/>
      <w:numFmt w:val="decimal"/>
      <w:lvlText w:val="%1."/>
      <w:lvlJc w:val="left"/>
      <w:pPr>
        <w:ind w:left="425" w:hanging="425"/>
      </w:pPr>
      <w:rPr>
        <w:rFonts w:hint="default"/>
      </w:rPr>
    </w:lvl>
  </w:abstractNum>
  <w:abstractNum w:abstractNumId="1">
    <w:nsid w:val="F67597A9"/>
    <w:multiLevelType w:val="singleLevel"/>
    <w:tmpl w:val="F67597A9"/>
    <w:lvl w:ilvl="0" w:tentative="0">
      <w:start w:val="1"/>
      <w:numFmt w:val="decimal"/>
      <w:lvlText w:val="%1."/>
      <w:lvlJc w:val="left"/>
      <w:pPr>
        <w:ind w:left="425" w:hanging="425"/>
      </w:pPr>
      <w:rPr>
        <w:rFonts w:hint="default"/>
      </w:rPr>
    </w:lvl>
  </w:abstractNum>
  <w:abstractNum w:abstractNumId="2">
    <w:nsid w:val="0A2F8F4A"/>
    <w:multiLevelType w:val="singleLevel"/>
    <w:tmpl w:val="0A2F8F4A"/>
    <w:lvl w:ilvl="0" w:tentative="0">
      <w:start w:val="1"/>
      <w:numFmt w:val="decimal"/>
      <w:lvlText w:val="%1."/>
      <w:lvlJc w:val="left"/>
      <w:pPr>
        <w:ind w:left="425" w:hanging="425"/>
      </w:pPr>
      <w:rPr>
        <w:rFonts w:hint="default"/>
      </w:rPr>
    </w:lvl>
  </w:abstractNum>
  <w:abstractNum w:abstractNumId="3">
    <w:nsid w:val="14533261"/>
    <w:multiLevelType w:val="singleLevel"/>
    <w:tmpl w:val="14533261"/>
    <w:lvl w:ilvl="0" w:tentative="0">
      <w:start w:val="1"/>
      <w:numFmt w:val="decimal"/>
      <w:lvlText w:val="%1."/>
      <w:lvlJc w:val="left"/>
      <w:pPr>
        <w:ind w:left="425" w:hanging="425"/>
      </w:pPr>
      <w:rPr>
        <w:rFont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7"/>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8766EE"/>
    <w:rsid w:val="0001067D"/>
    <w:rsid w:val="000359DB"/>
    <w:rsid w:val="000E518F"/>
    <w:rsid w:val="00155DEC"/>
    <w:rsid w:val="0017641F"/>
    <w:rsid w:val="001B40B0"/>
    <w:rsid w:val="001B452C"/>
    <w:rsid w:val="001D71D3"/>
    <w:rsid w:val="00216447"/>
    <w:rsid w:val="002251A6"/>
    <w:rsid w:val="0025556E"/>
    <w:rsid w:val="003431B8"/>
    <w:rsid w:val="00353335"/>
    <w:rsid w:val="00406DC0"/>
    <w:rsid w:val="00570AB4"/>
    <w:rsid w:val="006F7AF4"/>
    <w:rsid w:val="0076637C"/>
    <w:rsid w:val="00773F16"/>
    <w:rsid w:val="007B01C5"/>
    <w:rsid w:val="008766EE"/>
    <w:rsid w:val="008C12C8"/>
    <w:rsid w:val="008E524D"/>
    <w:rsid w:val="009228CE"/>
    <w:rsid w:val="00990A87"/>
    <w:rsid w:val="009A4A35"/>
    <w:rsid w:val="009E6E01"/>
    <w:rsid w:val="00A633CD"/>
    <w:rsid w:val="00AA23C9"/>
    <w:rsid w:val="00AA5EFE"/>
    <w:rsid w:val="00B717DA"/>
    <w:rsid w:val="00B83069"/>
    <w:rsid w:val="00BA7028"/>
    <w:rsid w:val="00D457E6"/>
    <w:rsid w:val="00DB0BF4"/>
    <w:rsid w:val="00DD03C1"/>
    <w:rsid w:val="00DD1CAB"/>
    <w:rsid w:val="00DF5C0B"/>
    <w:rsid w:val="00E42E3B"/>
    <w:rsid w:val="00E735CD"/>
    <w:rsid w:val="00F76572"/>
    <w:rsid w:val="00FE4A80"/>
    <w:rsid w:val="00FE59E1"/>
    <w:rsid w:val="00FF0E37"/>
    <w:rsid w:val="012216AE"/>
    <w:rsid w:val="0145197A"/>
    <w:rsid w:val="017E4B22"/>
    <w:rsid w:val="01CB1394"/>
    <w:rsid w:val="01EB3519"/>
    <w:rsid w:val="02D373B9"/>
    <w:rsid w:val="03072010"/>
    <w:rsid w:val="032E4811"/>
    <w:rsid w:val="036A3BCC"/>
    <w:rsid w:val="03C76B03"/>
    <w:rsid w:val="03CB3612"/>
    <w:rsid w:val="03F0504D"/>
    <w:rsid w:val="04E27350"/>
    <w:rsid w:val="053C46BE"/>
    <w:rsid w:val="056A63CD"/>
    <w:rsid w:val="05850102"/>
    <w:rsid w:val="06134005"/>
    <w:rsid w:val="06744615"/>
    <w:rsid w:val="06CE2865"/>
    <w:rsid w:val="07105458"/>
    <w:rsid w:val="08A3078C"/>
    <w:rsid w:val="090719BD"/>
    <w:rsid w:val="09650BE9"/>
    <w:rsid w:val="09FD24DA"/>
    <w:rsid w:val="0ABD0A55"/>
    <w:rsid w:val="0ABF3C26"/>
    <w:rsid w:val="0B3251F8"/>
    <w:rsid w:val="0BDD6089"/>
    <w:rsid w:val="0C8F1F45"/>
    <w:rsid w:val="0D3E25F9"/>
    <w:rsid w:val="0D717A10"/>
    <w:rsid w:val="0D775F5D"/>
    <w:rsid w:val="0DF40B17"/>
    <w:rsid w:val="0EAD58FA"/>
    <w:rsid w:val="0EB74E90"/>
    <w:rsid w:val="0EC132D9"/>
    <w:rsid w:val="0EF26E3D"/>
    <w:rsid w:val="0F23713D"/>
    <w:rsid w:val="0F900D04"/>
    <w:rsid w:val="10903946"/>
    <w:rsid w:val="120E015E"/>
    <w:rsid w:val="121143FF"/>
    <w:rsid w:val="1225245C"/>
    <w:rsid w:val="129A279C"/>
    <w:rsid w:val="12AF7274"/>
    <w:rsid w:val="13184CC0"/>
    <w:rsid w:val="13485A5E"/>
    <w:rsid w:val="14050C6B"/>
    <w:rsid w:val="14AA712C"/>
    <w:rsid w:val="14E35C48"/>
    <w:rsid w:val="1568437F"/>
    <w:rsid w:val="15C6086E"/>
    <w:rsid w:val="160759DF"/>
    <w:rsid w:val="1746733D"/>
    <w:rsid w:val="176D48C1"/>
    <w:rsid w:val="17EB606E"/>
    <w:rsid w:val="18D078A6"/>
    <w:rsid w:val="190F1AE0"/>
    <w:rsid w:val="1978119B"/>
    <w:rsid w:val="198453A8"/>
    <w:rsid w:val="19B052F4"/>
    <w:rsid w:val="19D12DB8"/>
    <w:rsid w:val="1A044B8A"/>
    <w:rsid w:val="1A097AF0"/>
    <w:rsid w:val="1A8A67CB"/>
    <w:rsid w:val="1BB46150"/>
    <w:rsid w:val="1BB67027"/>
    <w:rsid w:val="1C456AFB"/>
    <w:rsid w:val="1C5E53A9"/>
    <w:rsid w:val="1C677F74"/>
    <w:rsid w:val="1C752D39"/>
    <w:rsid w:val="1D5F741C"/>
    <w:rsid w:val="1EC8054B"/>
    <w:rsid w:val="1F5D6C8D"/>
    <w:rsid w:val="1FC25E92"/>
    <w:rsid w:val="204424DA"/>
    <w:rsid w:val="20684F01"/>
    <w:rsid w:val="208B0A7D"/>
    <w:rsid w:val="20F70341"/>
    <w:rsid w:val="21CD0154"/>
    <w:rsid w:val="22A64478"/>
    <w:rsid w:val="22CD0773"/>
    <w:rsid w:val="22E160D4"/>
    <w:rsid w:val="231F382B"/>
    <w:rsid w:val="23383C52"/>
    <w:rsid w:val="2361397C"/>
    <w:rsid w:val="23725EF1"/>
    <w:rsid w:val="254D02F8"/>
    <w:rsid w:val="257112BA"/>
    <w:rsid w:val="258E4BF1"/>
    <w:rsid w:val="25AD54BF"/>
    <w:rsid w:val="25B515C3"/>
    <w:rsid w:val="265970D2"/>
    <w:rsid w:val="295E6A97"/>
    <w:rsid w:val="29BF6B4B"/>
    <w:rsid w:val="2A1259A2"/>
    <w:rsid w:val="2A790229"/>
    <w:rsid w:val="2BA53D10"/>
    <w:rsid w:val="2BF40C7C"/>
    <w:rsid w:val="2C235573"/>
    <w:rsid w:val="2D2F4487"/>
    <w:rsid w:val="2E533A3F"/>
    <w:rsid w:val="2E600BA3"/>
    <w:rsid w:val="2EE1718F"/>
    <w:rsid w:val="2F56615F"/>
    <w:rsid w:val="2F5E3FA2"/>
    <w:rsid w:val="30607BE7"/>
    <w:rsid w:val="306A7D64"/>
    <w:rsid w:val="31ED4E43"/>
    <w:rsid w:val="32140369"/>
    <w:rsid w:val="32194AA7"/>
    <w:rsid w:val="32457C99"/>
    <w:rsid w:val="32CC689B"/>
    <w:rsid w:val="32D53119"/>
    <w:rsid w:val="32F85155"/>
    <w:rsid w:val="334763B5"/>
    <w:rsid w:val="33821DC8"/>
    <w:rsid w:val="33D715FE"/>
    <w:rsid w:val="348F0CAB"/>
    <w:rsid w:val="352F1AA9"/>
    <w:rsid w:val="35F05469"/>
    <w:rsid w:val="36970636"/>
    <w:rsid w:val="36DB1E53"/>
    <w:rsid w:val="376C3D42"/>
    <w:rsid w:val="38125598"/>
    <w:rsid w:val="39230028"/>
    <w:rsid w:val="39977A28"/>
    <w:rsid w:val="39BB08DF"/>
    <w:rsid w:val="39ED633D"/>
    <w:rsid w:val="3A6A7284"/>
    <w:rsid w:val="3B216B84"/>
    <w:rsid w:val="3B617FCF"/>
    <w:rsid w:val="3CB86CB0"/>
    <w:rsid w:val="3CE813C0"/>
    <w:rsid w:val="3D1640DA"/>
    <w:rsid w:val="3D494335"/>
    <w:rsid w:val="3D7F635F"/>
    <w:rsid w:val="3DAE2377"/>
    <w:rsid w:val="3E4932F8"/>
    <w:rsid w:val="3E58316E"/>
    <w:rsid w:val="3EF52EF9"/>
    <w:rsid w:val="3EFC5FEB"/>
    <w:rsid w:val="3F336F64"/>
    <w:rsid w:val="3F7E548F"/>
    <w:rsid w:val="409C685C"/>
    <w:rsid w:val="41025C7F"/>
    <w:rsid w:val="41C000AF"/>
    <w:rsid w:val="41C31601"/>
    <w:rsid w:val="425A661A"/>
    <w:rsid w:val="432E1A9F"/>
    <w:rsid w:val="43781CF3"/>
    <w:rsid w:val="43E808C2"/>
    <w:rsid w:val="444369DA"/>
    <w:rsid w:val="444A0AA1"/>
    <w:rsid w:val="44F56F62"/>
    <w:rsid w:val="45C71FE2"/>
    <w:rsid w:val="45CE3A1C"/>
    <w:rsid w:val="46907B10"/>
    <w:rsid w:val="46A92E0C"/>
    <w:rsid w:val="46C715E7"/>
    <w:rsid w:val="47BD6F8D"/>
    <w:rsid w:val="482F06A8"/>
    <w:rsid w:val="4868325E"/>
    <w:rsid w:val="48AA19D6"/>
    <w:rsid w:val="494F0ABC"/>
    <w:rsid w:val="4A1B63B8"/>
    <w:rsid w:val="4A2A6852"/>
    <w:rsid w:val="4A354934"/>
    <w:rsid w:val="4A4D178A"/>
    <w:rsid w:val="4ABC3191"/>
    <w:rsid w:val="4B0C6539"/>
    <w:rsid w:val="4B35486A"/>
    <w:rsid w:val="4BA06DBE"/>
    <w:rsid w:val="4C7E5020"/>
    <w:rsid w:val="4CC253BC"/>
    <w:rsid w:val="4D6B09BD"/>
    <w:rsid w:val="4E5A6193"/>
    <w:rsid w:val="4EB35B90"/>
    <w:rsid w:val="504D7FAA"/>
    <w:rsid w:val="505B6B8C"/>
    <w:rsid w:val="511C4306"/>
    <w:rsid w:val="511D596F"/>
    <w:rsid w:val="513C2555"/>
    <w:rsid w:val="51C728F5"/>
    <w:rsid w:val="51E42F22"/>
    <w:rsid w:val="52287A78"/>
    <w:rsid w:val="544257B2"/>
    <w:rsid w:val="558D0695"/>
    <w:rsid w:val="560A2BA7"/>
    <w:rsid w:val="56A40DBA"/>
    <w:rsid w:val="56CA3682"/>
    <w:rsid w:val="57987072"/>
    <w:rsid w:val="57AD6E9F"/>
    <w:rsid w:val="58103D64"/>
    <w:rsid w:val="58243074"/>
    <w:rsid w:val="58BC4D04"/>
    <w:rsid w:val="59DD2217"/>
    <w:rsid w:val="5A7E77E0"/>
    <w:rsid w:val="5A8D4E09"/>
    <w:rsid w:val="5B2A752A"/>
    <w:rsid w:val="5B6D547C"/>
    <w:rsid w:val="5B9132A1"/>
    <w:rsid w:val="5C3A3919"/>
    <w:rsid w:val="5CD41119"/>
    <w:rsid w:val="5D1102FD"/>
    <w:rsid w:val="5D357F78"/>
    <w:rsid w:val="5D685421"/>
    <w:rsid w:val="5E26020D"/>
    <w:rsid w:val="5E9C1116"/>
    <w:rsid w:val="5E9F4166"/>
    <w:rsid w:val="5ECC10BB"/>
    <w:rsid w:val="5F230633"/>
    <w:rsid w:val="602342FC"/>
    <w:rsid w:val="613C37B8"/>
    <w:rsid w:val="62257013"/>
    <w:rsid w:val="629E35FE"/>
    <w:rsid w:val="62B35BB1"/>
    <w:rsid w:val="62FB2AF9"/>
    <w:rsid w:val="63686E93"/>
    <w:rsid w:val="63EF4357"/>
    <w:rsid w:val="646C3DF1"/>
    <w:rsid w:val="64727CED"/>
    <w:rsid w:val="64AF6862"/>
    <w:rsid w:val="64D70E9E"/>
    <w:rsid w:val="64E00349"/>
    <w:rsid w:val="65B96E29"/>
    <w:rsid w:val="665F2916"/>
    <w:rsid w:val="6770143E"/>
    <w:rsid w:val="67D801A3"/>
    <w:rsid w:val="682D2AA1"/>
    <w:rsid w:val="690B2B8D"/>
    <w:rsid w:val="69464633"/>
    <w:rsid w:val="6A410818"/>
    <w:rsid w:val="6AB17BFC"/>
    <w:rsid w:val="6B373CE4"/>
    <w:rsid w:val="6BAC7F21"/>
    <w:rsid w:val="6BAF0F0B"/>
    <w:rsid w:val="6C370E11"/>
    <w:rsid w:val="6C391966"/>
    <w:rsid w:val="6C84067E"/>
    <w:rsid w:val="6CF615CE"/>
    <w:rsid w:val="6D232210"/>
    <w:rsid w:val="6D47237B"/>
    <w:rsid w:val="6D5C4D4D"/>
    <w:rsid w:val="6D8C48DE"/>
    <w:rsid w:val="6DFB078D"/>
    <w:rsid w:val="6E951355"/>
    <w:rsid w:val="6F693A21"/>
    <w:rsid w:val="701A0719"/>
    <w:rsid w:val="7087376D"/>
    <w:rsid w:val="7123398C"/>
    <w:rsid w:val="712659CB"/>
    <w:rsid w:val="720C30A2"/>
    <w:rsid w:val="72D4762A"/>
    <w:rsid w:val="73342681"/>
    <w:rsid w:val="73765D02"/>
    <w:rsid w:val="73D525F5"/>
    <w:rsid w:val="74257344"/>
    <w:rsid w:val="74DB27BB"/>
    <w:rsid w:val="7536457E"/>
    <w:rsid w:val="757D5847"/>
    <w:rsid w:val="7599711A"/>
    <w:rsid w:val="7632503F"/>
    <w:rsid w:val="769153ED"/>
    <w:rsid w:val="779D1B4D"/>
    <w:rsid w:val="77C2015C"/>
    <w:rsid w:val="77CA3FF4"/>
    <w:rsid w:val="78106A3A"/>
    <w:rsid w:val="78A229B5"/>
    <w:rsid w:val="79533D58"/>
    <w:rsid w:val="79870C0D"/>
    <w:rsid w:val="79F22CB2"/>
    <w:rsid w:val="7A673C6A"/>
    <w:rsid w:val="7A7F7055"/>
    <w:rsid w:val="7B342E3D"/>
    <w:rsid w:val="7B4F3DA6"/>
    <w:rsid w:val="7C133AD1"/>
    <w:rsid w:val="7C8D1C3A"/>
    <w:rsid w:val="7CFD453F"/>
    <w:rsid w:val="7D113035"/>
    <w:rsid w:val="7D3759BC"/>
    <w:rsid w:val="7D4D5BC5"/>
    <w:rsid w:val="7E3F016F"/>
    <w:rsid w:val="7E4B3FB8"/>
    <w:rsid w:val="7EAD3100"/>
    <w:rsid w:val="7F4D5C5E"/>
    <w:rsid w:val="7FD72D9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9"/>
    <w:pPr>
      <w:keepNext/>
      <w:keepLines/>
      <w:spacing w:before="50" w:beforeLines="50" w:beforeAutospacing="0" w:after="50" w:afterLines="50" w:afterAutospacing="0" w:line="240" w:lineRule="auto"/>
      <w:outlineLvl w:val="0"/>
    </w:pPr>
    <w:rPr>
      <w:rFonts w:eastAsia="仿宋"/>
      <w:b/>
      <w:kern w:val="44"/>
      <w:sz w:val="32"/>
    </w:rPr>
  </w:style>
  <w:style w:type="paragraph" w:styleId="3">
    <w:name w:val="heading 2"/>
    <w:basedOn w:val="1"/>
    <w:next w:val="1"/>
    <w:link w:val="20"/>
    <w:unhideWhenUsed/>
    <w:qFormat/>
    <w:uiPriority w:val="9"/>
    <w:pPr>
      <w:keepNext/>
      <w:keepLines/>
      <w:spacing w:before="0" w:beforeLines="0" w:beforeAutospacing="0" w:after="0" w:afterLines="0" w:afterAutospacing="0" w:line="240" w:lineRule="auto"/>
      <w:ind w:firstLine="723" w:firstLineChars="200"/>
      <w:outlineLvl w:val="1"/>
    </w:pPr>
    <w:rPr>
      <w:rFonts w:ascii="Arial" w:hAnsi="Arial" w:eastAsia="仿宋"/>
      <w:b/>
      <w:sz w:val="32"/>
    </w:rPr>
  </w:style>
  <w:style w:type="character" w:default="1" w:styleId="10">
    <w:name w:val="Default Paragraph Font"/>
    <w:unhideWhenUsed/>
    <w:qFormat/>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4">
    <w:name w:val="annotation text"/>
    <w:basedOn w:val="1"/>
    <w:link w:val="13"/>
    <w:qFormat/>
    <w:uiPriority w:val="0"/>
    <w:rPr>
      <w:sz w:val="20"/>
      <w:szCs w:val="20"/>
    </w:rPr>
  </w:style>
  <w:style w:type="paragraph" w:styleId="5">
    <w:name w:val="Balloon Text"/>
    <w:basedOn w:val="1"/>
    <w:link w:val="18"/>
    <w:unhideWhenUsed/>
    <w:qFormat/>
    <w:uiPriority w:val="99"/>
    <w:rPr>
      <w:sz w:val="18"/>
      <w:szCs w:val="18"/>
    </w:rPr>
  </w:style>
  <w:style w:type="paragraph" w:styleId="6">
    <w:name w:val="footer"/>
    <w:basedOn w:val="1"/>
    <w:link w:val="12"/>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4"/>
    <w:next w:val="4"/>
    <w:link w:val="19"/>
    <w:unhideWhenUsed/>
    <w:qFormat/>
    <w:uiPriority w:val="99"/>
    <w:pPr>
      <w:jc w:val="left"/>
    </w:pPr>
    <w:rPr>
      <w:b/>
      <w:bCs/>
      <w:sz w:val="21"/>
      <w:szCs w:val="24"/>
    </w:rPr>
  </w:style>
  <w:style w:type="character" w:styleId="11">
    <w:name w:val="annotation reference"/>
    <w:semiHidden/>
    <w:qFormat/>
    <w:uiPriority w:val="0"/>
    <w:rPr>
      <w:sz w:val="21"/>
      <w:szCs w:val="21"/>
    </w:rPr>
  </w:style>
  <w:style w:type="character" w:customStyle="1" w:styleId="12">
    <w:name w:val="页脚 Char"/>
    <w:link w:val="6"/>
    <w:qFormat/>
    <w:uiPriority w:val="99"/>
    <w:rPr>
      <w:sz w:val="18"/>
      <w:szCs w:val="18"/>
    </w:rPr>
  </w:style>
  <w:style w:type="character" w:customStyle="1" w:styleId="13">
    <w:name w:val="批注文字 Char"/>
    <w:basedOn w:val="10"/>
    <w:link w:val="4"/>
    <w:qFormat/>
    <w:uiPriority w:val="0"/>
    <w:rPr>
      <w:rFonts w:ascii="Calibri" w:hAnsi="Calibri" w:eastAsia="宋体" w:cs="Times New Roman"/>
      <w:sz w:val="20"/>
      <w:szCs w:val="20"/>
    </w:rPr>
  </w:style>
  <w:style w:type="character" w:customStyle="1" w:styleId="14">
    <w:name w:val="页脚 Char1"/>
    <w:basedOn w:val="10"/>
    <w:semiHidden/>
    <w:qFormat/>
    <w:uiPriority w:val="99"/>
    <w:rPr>
      <w:rFonts w:ascii="Calibri" w:hAnsi="Calibri" w:eastAsia="宋体" w:cs="Times New Roman"/>
      <w:sz w:val="18"/>
      <w:szCs w:val="18"/>
    </w:rPr>
  </w:style>
  <w:style w:type="character" w:customStyle="1" w:styleId="15">
    <w:name w:val="页眉 Char"/>
    <w:basedOn w:val="10"/>
    <w:link w:val="7"/>
    <w:qFormat/>
    <w:uiPriority w:val="99"/>
    <w:rPr>
      <w:rFonts w:ascii="Calibri" w:hAnsi="Calibri" w:eastAsia="宋体" w:cs="Times New Roman"/>
      <w:sz w:val="18"/>
      <w:szCs w:val="18"/>
    </w:rPr>
  </w:style>
  <w:style w:type="paragraph" w:customStyle="1" w:styleId="16">
    <w:name w:val="List Paragraph"/>
    <w:basedOn w:val="1"/>
    <w:qFormat/>
    <w:uiPriority w:val="34"/>
    <w:pPr>
      <w:ind w:firstLine="420" w:firstLineChars="200"/>
    </w:pPr>
  </w:style>
  <w:style w:type="paragraph" w:customStyle="1" w:styleId="17">
    <w:name w:val="样式 黑体 小初 居中 首行缩进:  2 字符"/>
    <w:basedOn w:val="1"/>
    <w:qFormat/>
    <w:uiPriority w:val="0"/>
    <w:pPr>
      <w:jc w:val="center"/>
    </w:pPr>
    <w:rPr>
      <w:rFonts w:ascii="黑体" w:eastAsia="黑体" w:cs="宋体"/>
      <w:sz w:val="72"/>
      <w:szCs w:val="20"/>
    </w:rPr>
  </w:style>
  <w:style w:type="character" w:customStyle="1" w:styleId="18">
    <w:name w:val="批注框文本 Char"/>
    <w:basedOn w:val="10"/>
    <w:link w:val="5"/>
    <w:semiHidden/>
    <w:qFormat/>
    <w:uiPriority w:val="99"/>
    <w:rPr>
      <w:rFonts w:ascii="Calibri" w:hAnsi="Calibri" w:eastAsia="宋体" w:cs="Times New Roman"/>
      <w:kern w:val="2"/>
      <w:sz w:val="18"/>
      <w:szCs w:val="18"/>
    </w:rPr>
  </w:style>
  <w:style w:type="character" w:customStyle="1" w:styleId="19">
    <w:name w:val="批注主题 Char"/>
    <w:basedOn w:val="13"/>
    <w:link w:val="8"/>
    <w:semiHidden/>
    <w:qFormat/>
    <w:uiPriority w:val="99"/>
    <w:rPr>
      <w:b/>
      <w:bCs/>
      <w:kern w:val="2"/>
      <w:sz w:val="21"/>
      <w:szCs w:val="24"/>
    </w:rPr>
  </w:style>
  <w:style w:type="character" w:customStyle="1" w:styleId="20">
    <w:name w:val="标题 2 Char"/>
    <w:link w:val="3"/>
    <w:qFormat/>
    <w:uiPriority w:val="0"/>
    <w:rPr>
      <w:rFonts w:ascii="Arial" w:hAnsi="Arial" w:eastAsia="仿宋"/>
      <w:b/>
      <w:sz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1166</Words>
  <Characters>6649</Characters>
  <Lines>55</Lines>
  <Paragraphs>15</Paragraphs>
  <TotalTime>1</TotalTime>
  <ScaleCrop>false</ScaleCrop>
  <LinksUpToDate>false</LinksUpToDate>
  <CharactersWithSpaces>7800</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2019-07-29T06:49:00Z</dcterms:created>
  <dc:creator>Administrator</dc:creator>
  <cp:lastModifiedBy>mqh</cp:lastModifiedBy>
  <cp:lastPrinted>2019-07-15T02:35:00Z</cp:lastPrinted>
  <dcterms:modified xsi:type="dcterms:W3CDTF">2019-09-30T08:05:26Z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